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9F00F" w14:textId="3BCD70A0" w:rsidR="002F7A49" w:rsidRPr="00195783" w:rsidRDefault="002F7A49" w:rsidP="002F7A4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195783">
        <w:rPr>
          <w:rFonts w:ascii="Arial" w:eastAsia="SimSun" w:hAnsi="Arial" w:cs="Times New Roman"/>
          <w:b/>
          <w:bCs/>
          <w:sz w:val="24"/>
          <w:szCs w:val="24"/>
          <w:lang w:val="en-GB"/>
        </w:rPr>
        <w:t xml:space="preserve">3GPP TSG-RAN WG4 Meeting #94-e  </w:t>
      </w:r>
      <w:r w:rsidR="000604DA" w:rsidRPr="00195783">
        <w:rPr>
          <w:rFonts w:ascii="Arial" w:eastAsia="SimSun" w:hAnsi="Arial" w:cs="Times New Roman"/>
          <w:b/>
          <w:bCs/>
          <w:sz w:val="24"/>
          <w:szCs w:val="24"/>
          <w:lang w:val="en-GB"/>
        </w:rPr>
        <w:t>bis</w:t>
      </w:r>
      <w:r w:rsidRPr="00195783">
        <w:rPr>
          <w:rFonts w:ascii="Arial" w:eastAsia="SimSun" w:hAnsi="Arial" w:cs="Times New Roman"/>
          <w:b/>
          <w:bCs/>
          <w:sz w:val="24"/>
          <w:szCs w:val="24"/>
          <w:lang w:val="en-GB"/>
        </w:rPr>
        <w:t xml:space="preserve">    </w:t>
      </w:r>
      <w:bookmarkStart w:id="2" w:name="_GoBack"/>
      <w:bookmarkEnd w:id="2"/>
      <w:r w:rsidR="00EA63D8" w:rsidRPr="00EA63D8">
        <w:rPr>
          <w:rFonts w:ascii="Arial" w:eastAsia="SimSun" w:hAnsi="Arial" w:cs="Times New Roman"/>
          <w:b/>
          <w:bCs/>
          <w:sz w:val="24"/>
          <w:szCs w:val="24"/>
          <w:lang w:val="en-GB" w:eastAsia="ja-JP"/>
        </w:rPr>
        <w:tab/>
        <w:t>R4-2003671</w:t>
      </w:r>
    </w:p>
    <w:p w14:paraId="294B46B4" w14:textId="14EB3289" w:rsidR="002F7A49" w:rsidRPr="003B4FC5" w:rsidRDefault="002F7A49" w:rsidP="002F7A49">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r w:rsidRPr="00195783">
        <w:rPr>
          <w:rFonts w:ascii="Arial" w:eastAsia="SimSun" w:hAnsi="Arial" w:cs="Times New Roman"/>
          <w:b/>
          <w:sz w:val="24"/>
          <w:szCs w:val="20"/>
        </w:rPr>
        <w:t xml:space="preserve">Online, </w:t>
      </w:r>
      <w:r w:rsidR="000B0A49" w:rsidRPr="00195783">
        <w:rPr>
          <w:rFonts w:ascii="Arial" w:eastAsia="SimSun" w:hAnsi="Arial" w:cs="Times New Roman"/>
          <w:b/>
          <w:sz w:val="24"/>
          <w:szCs w:val="20"/>
        </w:rPr>
        <w:t>April 20</w:t>
      </w:r>
      <w:r w:rsidR="000B0A49" w:rsidRPr="00195783">
        <w:rPr>
          <w:rFonts w:ascii="Arial" w:eastAsia="SimSun" w:hAnsi="Arial" w:cs="Times New Roman"/>
          <w:b/>
          <w:sz w:val="24"/>
          <w:szCs w:val="20"/>
          <w:vertAlign w:val="superscript"/>
        </w:rPr>
        <w:t xml:space="preserve">th </w:t>
      </w:r>
      <w:r w:rsidR="000B0A49" w:rsidRPr="00195783">
        <w:rPr>
          <w:rFonts w:ascii="Arial" w:eastAsia="SimSun" w:hAnsi="Arial" w:cs="Times New Roman"/>
          <w:b/>
          <w:sz w:val="24"/>
          <w:szCs w:val="20"/>
        </w:rPr>
        <w:t>– April 30</w:t>
      </w:r>
      <w:r w:rsidR="000B0A49" w:rsidRPr="00195783">
        <w:rPr>
          <w:rFonts w:ascii="Arial" w:eastAsia="SimSun" w:hAnsi="Arial" w:cs="Times New Roman"/>
          <w:b/>
          <w:sz w:val="24"/>
          <w:szCs w:val="20"/>
          <w:vertAlign w:val="superscript"/>
        </w:rPr>
        <w:t>th</w:t>
      </w:r>
      <w:r w:rsidRPr="00195783">
        <w:rPr>
          <w:rFonts w:ascii="Arial" w:eastAsia="SimSun" w:hAnsi="Arial" w:cs="Times New Roman"/>
          <w:b/>
          <w:sz w:val="24"/>
          <w:szCs w:val="20"/>
        </w:rPr>
        <w:t>, 2020</w:t>
      </w:r>
    </w:p>
    <w:bookmarkEnd w:id="0"/>
    <w:bookmarkEnd w:id="1"/>
    <w:p w14:paraId="26A67278" w14:textId="77777777"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485BF135" w:rsidR="000E23A6" w:rsidRPr="00134BF5" w:rsidRDefault="000E23A6" w:rsidP="000E23A6">
      <w:pPr>
        <w:ind w:left="1985" w:hanging="1985"/>
        <w:jc w:val="both"/>
        <w:rPr>
          <w:rFonts w:ascii="Arial" w:eastAsia="Calibri" w:hAnsi="Arial" w:cs="Arial"/>
          <w:b/>
          <w:bCs/>
          <w:sz w:val="24"/>
        </w:rPr>
      </w:pPr>
      <w:r w:rsidRPr="00134BF5">
        <w:rPr>
          <w:rFonts w:ascii="Arial" w:eastAsia="Calibri" w:hAnsi="Arial" w:cs="Arial"/>
          <w:b/>
          <w:bCs/>
          <w:sz w:val="24"/>
        </w:rPr>
        <w:t>Title:</w:t>
      </w:r>
      <w:r w:rsidRPr="00134BF5">
        <w:rPr>
          <w:rFonts w:ascii="Arial" w:eastAsia="Calibri" w:hAnsi="Arial" w:cs="Arial"/>
          <w:b/>
          <w:bCs/>
          <w:sz w:val="24"/>
        </w:rPr>
        <w:tab/>
      </w:r>
      <w:r w:rsidR="00134BF5" w:rsidRPr="00134BF5">
        <w:rPr>
          <w:rFonts w:ascii="Arial" w:eastAsia="Calibri" w:hAnsi="Arial" w:cs="Arial"/>
          <w:b/>
          <w:bCs/>
          <w:sz w:val="24"/>
        </w:rPr>
        <w:t xml:space="preserve">SSB </w:t>
      </w:r>
      <w:r w:rsidR="00134BF5">
        <w:rPr>
          <w:rFonts w:ascii="Arial" w:eastAsia="Calibri" w:hAnsi="Arial" w:cs="Arial"/>
          <w:b/>
          <w:bCs/>
          <w:sz w:val="24"/>
        </w:rPr>
        <w:t>measurements</w:t>
      </w:r>
      <w:r w:rsidR="00134BF5" w:rsidRPr="00134BF5">
        <w:rPr>
          <w:rFonts w:ascii="Arial" w:eastAsia="Calibri" w:hAnsi="Arial" w:cs="Arial"/>
          <w:b/>
          <w:bCs/>
          <w:sz w:val="24"/>
        </w:rPr>
        <w:t xml:space="preserve"> i</w:t>
      </w:r>
      <w:r w:rsidR="00134BF5">
        <w:rPr>
          <w:rFonts w:ascii="Arial" w:eastAsia="Calibri" w:hAnsi="Arial" w:cs="Arial"/>
          <w:b/>
          <w:bCs/>
          <w:sz w:val="24"/>
        </w:rPr>
        <w:t>n NR-U</w:t>
      </w:r>
    </w:p>
    <w:p w14:paraId="3C35320A" w14:textId="11BAD890" w:rsidR="000E23A6" w:rsidRPr="00195783" w:rsidRDefault="000E23A6" w:rsidP="000E23A6">
      <w:pPr>
        <w:tabs>
          <w:tab w:val="left" w:pos="1985"/>
        </w:tabs>
        <w:spacing w:after="120" w:line="240" w:lineRule="auto"/>
        <w:jc w:val="both"/>
        <w:rPr>
          <w:rFonts w:ascii="Arial" w:eastAsia="MS Mincho" w:hAnsi="Arial" w:cs="Arial"/>
          <w:b/>
          <w:bCs/>
          <w:sz w:val="24"/>
          <w:szCs w:val="20"/>
        </w:rPr>
      </w:pPr>
      <w:r w:rsidRPr="00195783">
        <w:rPr>
          <w:rFonts w:ascii="Arial" w:eastAsia="MS Mincho" w:hAnsi="Arial" w:cs="Arial"/>
          <w:b/>
          <w:bCs/>
          <w:sz w:val="24"/>
          <w:szCs w:val="20"/>
        </w:rPr>
        <w:t>Agenda item:</w:t>
      </w:r>
      <w:r w:rsidRPr="00195783">
        <w:rPr>
          <w:rFonts w:ascii="Arial" w:eastAsia="MS Mincho" w:hAnsi="Arial" w:cs="Arial"/>
          <w:b/>
          <w:bCs/>
          <w:sz w:val="24"/>
          <w:szCs w:val="20"/>
        </w:rPr>
        <w:tab/>
      </w:r>
      <w:r w:rsidR="000604DA" w:rsidRPr="00195783">
        <w:rPr>
          <w:rFonts w:ascii="Arial" w:eastAsia="MS Mincho" w:hAnsi="Arial" w:cs="Arial"/>
          <w:b/>
          <w:bCs/>
          <w:sz w:val="24"/>
          <w:szCs w:val="20"/>
        </w:rPr>
        <w:t>6.1.5.11</w:t>
      </w:r>
    </w:p>
    <w:p w14:paraId="5FCD8CC3" w14:textId="02570F67" w:rsidR="000E23A6" w:rsidRPr="00195783" w:rsidRDefault="000E23A6" w:rsidP="000E23A6">
      <w:pPr>
        <w:tabs>
          <w:tab w:val="left" w:pos="1985"/>
        </w:tabs>
        <w:jc w:val="both"/>
        <w:rPr>
          <w:rFonts w:ascii="Arial" w:eastAsia="Calibri" w:hAnsi="Arial" w:cs="Arial"/>
          <w:b/>
          <w:bCs/>
          <w:sz w:val="24"/>
        </w:rPr>
      </w:pPr>
      <w:r w:rsidRPr="00195783">
        <w:rPr>
          <w:rFonts w:ascii="Arial" w:eastAsia="Calibri" w:hAnsi="Arial" w:cs="Arial"/>
          <w:b/>
          <w:bCs/>
          <w:sz w:val="24"/>
        </w:rPr>
        <w:t>Document for:</w:t>
      </w:r>
      <w:r w:rsidRPr="00195783">
        <w:rPr>
          <w:rFonts w:ascii="Arial" w:eastAsia="Calibri" w:hAnsi="Arial" w:cs="Arial"/>
          <w:b/>
          <w:bCs/>
          <w:sz w:val="24"/>
        </w:rPr>
        <w:tab/>
        <w:t>Discussion</w:t>
      </w:r>
    </w:p>
    <w:p w14:paraId="68905DAB" w14:textId="30440F62" w:rsid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3981CC60" w14:textId="62B37BCB" w:rsidR="00BE6B0A" w:rsidRPr="000B0A49" w:rsidRDefault="00831CEA" w:rsidP="000B0A49">
      <w:pPr>
        <w:rPr>
          <w:rFonts w:cs="Times New Roman"/>
          <w:szCs w:val="20"/>
        </w:rPr>
      </w:pPr>
      <w:r>
        <w:rPr>
          <w:rFonts w:cs="Times New Roman"/>
          <w:szCs w:val="20"/>
        </w:rPr>
        <w:t xml:space="preserve">Most of the RAN4 requirements are defined based on the number of unavailability of SMTC periods during the measurements. </w:t>
      </w:r>
      <w:r w:rsidR="000B0A49" w:rsidRPr="000B0A49">
        <w:rPr>
          <w:rFonts w:cs="Times New Roman"/>
          <w:szCs w:val="20"/>
        </w:rPr>
        <w:t xml:space="preserve">During the previous RAN4 meeting, there was a discussion on how to define an unavailable SMTC during the measurement period. </w:t>
      </w:r>
    </w:p>
    <w:p w14:paraId="15887682" w14:textId="6C6CBD80" w:rsidR="000B0A49" w:rsidRPr="000B0A49" w:rsidRDefault="000B0A49" w:rsidP="000B0A49">
      <w:pPr>
        <w:rPr>
          <w:rFonts w:cs="Times New Roman"/>
          <w:szCs w:val="20"/>
        </w:rPr>
      </w:pPr>
      <w:r w:rsidRPr="000B0A49">
        <w:rPr>
          <w:rFonts w:cs="Times New Roman"/>
          <w:szCs w:val="20"/>
        </w:rPr>
        <w:t xml:space="preserve">Document </w:t>
      </w:r>
      <w:r w:rsidR="00255666">
        <w:rPr>
          <w:rFonts w:cs="Times New Roman"/>
          <w:szCs w:val="20"/>
          <w:highlight w:val="yellow"/>
        </w:rPr>
        <w:fldChar w:fldCharType="begin"/>
      </w:r>
      <w:r w:rsidR="00255666">
        <w:rPr>
          <w:rFonts w:cs="Times New Roman"/>
          <w:szCs w:val="20"/>
        </w:rPr>
        <w:instrText xml:space="preserve"> REF _Ref37334422 \r \h </w:instrText>
      </w:r>
      <w:r w:rsidR="00255666">
        <w:rPr>
          <w:rFonts w:cs="Times New Roman"/>
          <w:szCs w:val="20"/>
          <w:highlight w:val="yellow"/>
        </w:rPr>
      </w:r>
      <w:r w:rsidR="00255666">
        <w:rPr>
          <w:rFonts w:cs="Times New Roman"/>
          <w:szCs w:val="20"/>
          <w:highlight w:val="yellow"/>
        </w:rPr>
        <w:fldChar w:fldCharType="separate"/>
      </w:r>
      <w:r w:rsidR="00255666">
        <w:rPr>
          <w:rFonts w:cs="Times New Roman"/>
          <w:szCs w:val="20"/>
        </w:rPr>
        <w:t>[3]</w:t>
      </w:r>
      <w:r w:rsidR="00255666">
        <w:rPr>
          <w:rFonts w:cs="Times New Roman"/>
          <w:szCs w:val="20"/>
          <w:highlight w:val="yellow"/>
        </w:rPr>
        <w:fldChar w:fldCharType="end"/>
      </w:r>
      <w:r w:rsidR="00255666">
        <w:rPr>
          <w:rFonts w:cs="Times New Roman"/>
          <w:szCs w:val="20"/>
        </w:rPr>
        <w:t xml:space="preserve"> </w:t>
      </w:r>
      <w:r w:rsidRPr="000B0A49">
        <w:rPr>
          <w:rFonts w:cs="Times New Roman"/>
          <w:szCs w:val="20"/>
        </w:rPr>
        <w:t xml:space="preserve">proposed that: </w:t>
      </w:r>
    </w:p>
    <w:p w14:paraId="0ECA2218" w14:textId="36320ECA" w:rsidR="007259BC" w:rsidRPr="00255666" w:rsidRDefault="007259BC" w:rsidP="000B0A49">
      <w:pPr>
        <w:ind w:left="720"/>
        <w:rPr>
          <w:rFonts w:cs="Times New Roman"/>
          <w:szCs w:val="20"/>
        </w:rPr>
      </w:pPr>
      <w:bookmarkStart w:id="3" w:name="_Hlk36556160"/>
      <w:r w:rsidRPr="00255666">
        <w:rPr>
          <w:rFonts w:cs="Times New Roman"/>
          <w:szCs w:val="20"/>
        </w:rPr>
        <w:t>In the cell identification stage</w:t>
      </w:r>
      <w:r w:rsidR="00255666">
        <w:rPr>
          <w:rFonts w:cs="Times New Roman"/>
          <w:szCs w:val="20"/>
        </w:rPr>
        <w:t>, add a note with the following text</w:t>
      </w:r>
      <w:r w:rsidRPr="00255666">
        <w:rPr>
          <w:rFonts w:cs="Times New Roman"/>
          <w:szCs w:val="20"/>
        </w:rPr>
        <w:t xml:space="preserve">: </w:t>
      </w:r>
    </w:p>
    <w:p w14:paraId="0BF03090" w14:textId="7B8AB208" w:rsidR="007259BC" w:rsidRPr="00255666" w:rsidRDefault="007259BC" w:rsidP="007259BC">
      <w:pPr>
        <w:ind w:left="720" w:firstLine="720"/>
        <w:rPr>
          <w:rFonts w:cs="Times New Roman"/>
          <w:bCs/>
          <w:szCs w:val="20"/>
        </w:rPr>
      </w:pPr>
      <w:r w:rsidRPr="00255666">
        <w:rPr>
          <w:rFonts w:cs="Times New Roman"/>
          <w:bCs/>
          <w:i/>
          <w:szCs w:val="20"/>
        </w:rPr>
        <w:t>At least one SSB index in the same SSB position index shall be detectable, as specified in clause 9.2A.2, in the time period for PSS/SSS detection</w:t>
      </w:r>
      <w:r w:rsidRPr="00255666">
        <w:rPr>
          <w:rFonts w:cs="Times New Roman"/>
          <w:bCs/>
          <w:szCs w:val="20"/>
        </w:rPr>
        <w:t>.</w:t>
      </w:r>
    </w:p>
    <w:p w14:paraId="12DCC968" w14:textId="4C4EDBE4" w:rsidR="007259BC" w:rsidRPr="00255666" w:rsidRDefault="007259BC" w:rsidP="000B0A49">
      <w:pPr>
        <w:ind w:left="720"/>
        <w:rPr>
          <w:rFonts w:cs="Times New Roman"/>
          <w:bCs/>
          <w:szCs w:val="20"/>
        </w:rPr>
      </w:pPr>
      <w:r w:rsidRPr="00255666">
        <w:rPr>
          <w:rFonts w:cs="Times New Roman"/>
          <w:bCs/>
          <w:szCs w:val="20"/>
        </w:rPr>
        <w:t>In the cell measurement stage</w:t>
      </w:r>
      <w:r w:rsidR="00255666">
        <w:rPr>
          <w:rFonts w:cs="Times New Roman"/>
          <w:bCs/>
          <w:szCs w:val="20"/>
        </w:rPr>
        <w:t>, add a note with the following text</w:t>
      </w:r>
      <w:r w:rsidRPr="00255666">
        <w:rPr>
          <w:rFonts w:cs="Times New Roman"/>
          <w:bCs/>
          <w:szCs w:val="20"/>
        </w:rPr>
        <w:t>:</w:t>
      </w:r>
    </w:p>
    <w:bookmarkEnd w:id="3"/>
    <w:p w14:paraId="09F3D316" w14:textId="77777777" w:rsidR="007259BC" w:rsidRPr="00255666" w:rsidRDefault="007259BC" w:rsidP="007259BC">
      <w:pPr>
        <w:ind w:left="720" w:firstLine="720"/>
        <w:rPr>
          <w:rFonts w:cs="Times New Roman"/>
          <w:szCs w:val="20"/>
        </w:rPr>
      </w:pPr>
      <w:r w:rsidRPr="00255666">
        <w:rPr>
          <w:rFonts w:cs="Times New Roman"/>
          <w:i/>
          <w:szCs w:val="20"/>
        </w:rPr>
        <w:t>UE considers a SMTC occasion unavailable if the SSB index of the identified cell at the detected SSB position index is not available</w:t>
      </w:r>
      <w:r w:rsidRPr="00255666">
        <w:rPr>
          <w:rFonts w:cs="Times New Roman"/>
          <w:szCs w:val="20"/>
        </w:rPr>
        <w:t>.</w:t>
      </w:r>
    </w:p>
    <w:p w14:paraId="3810C977" w14:textId="793539B5" w:rsidR="001149DB" w:rsidRPr="001149DB" w:rsidRDefault="000B0A49" w:rsidP="000E23A6">
      <w:pPr>
        <w:rPr>
          <w:lang w:val="en-GB"/>
        </w:rPr>
      </w:pPr>
      <w:r>
        <w:rPr>
          <w:rFonts w:cs="Times New Roman"/>
          <w:szCs w:val="20"/>
        </w:rPr>
        <w:t>In this document, we discuss the definition of an unavailable SMTC</w:t>
      </w:r>
      <w:r w:rsidR="00831CEA">
        <w:rPr>
          <w:rFonts w:cs="Times New Roman"/>
          <w:szCs w:val="20"/>
        </w:rPr>
        <w:t xml:space="preserve"> for different intra and inter-frequency measurements in NR-U.</w:t>
      </w:r>
    </w:p>
    <w:p w14:paraId="5C21FC1A" w14:textId="00C67EDA" w:rsidR="00202C34" w:rsidRDefault="00202C34" w:rsidP="000E23A6"/>
    <w:p w14:paraId="24BB6D09" w14:textId="15B76E0A" w:rsidR="00B07A4B" w:rsidRPr="00C517AB" w:rsidRDefault="00B07A4B" w:rsidP="00B07A4B">
      <w:pPr>
        <w:pStyle w:val="RAN4H1"/>
      </w:pPr>
      <w:bookmarkStart w:id="4" w:name="_Hlk7682270"/>
      <w:r>
        <w:t>2</w:t>
      </w:r>
      <w:r w:rsidRPr="00841BCD">
        <w:tab/>
      </w:r>
      <w:r>
        <w:t>Discussion</w:t>
      </w:r>
    </w:p>
    <w:bookmarkEnd w:id="4"/>
    <w:p w14:paraId="6F1A5A7A" w14:textId="7B736860" w:rsidR="003D34E3" w:rsidRDefault="00D6645D" w:rsidP="00E64435">
      <w:pPr>
        <w:jc w:val="both"/>
      </w:pPr>
      <w:r>
        <w:t>One difference between NR and NR-U is the need to perform the listen-before-talk (LBT) procedure in unlicensed frequency bands, which can cause the transmission to be blocked in case the channel is already occupied</w:t>
      </w:r>
      <w:r w:rsidR="006C3FC0">
        <w:t>, situation referred to as LBT failure in this document</w:t>
      </w:r>
      <w:r>
        <w:t xml:space="preserve">. In order to </w:t>
      </w:r>
      <w:r w:rsidR="006C3FC0">
        <w:t>be robust to LBT failure when</w:t>
      </w:r>
      <w:r>
        <w:t xml:space="preserve"> sending </w:t>
      </w:r>
      <w:r w:rsidRPr="00CB4900">
        <w:t>SS/PBCH block</w:t>
      </w:r>
      <w:r>
        <w:t xml:space="preserve"> (SSB) in NR-U, RAN1 has agreed that there will be multiple opportunities for sending the SSB, within a Discovery Reference Signal (DRS) Transmission window.  </w:t>
      </w:r>
      <w:r w:rsidR="00BE6B0A">
        <w:t xml:space="preserve">Within this DRS Tx window, beams </w:t>
      </w:r>
      <w:r w:rsidR="00281F12">
        <w:t>can</w:t>
      </w:r>
      <w:r w:rsidR="00BE6B0A">
        <w:t xml:space="preserve"> be cycled to maximize the probability of sending the SSBs even under LBT failures.</w:t>
      </w:r>
    </w:p>
    <w:p w14:paraId="41F30734" w14:textId="0F4B8A82" w:rsidR="006C3FC0" w:rsidRDefault="001149DB" w:rsidP="00E64435">
      <w:pPr>
        <w:jc w:val="both"/>
      </w:pPr>
      <w:r>
        <w:t xml:space="preserve">In order to implement this, RAN1 has defined in addition to the already existing SSB index, </w:t>
      </w:r>
      <w:r w:rsidR="00BE6B0A">
        <w:t xml:space="preserve">the term “Candidate SS/PBCH block index”. </w:t>
      </w:r>
      <w:r w:rsidR="007B5C63">
        <w:t>An example of t</w:t>
      </w:r>
      <w:r w:rsidR="00BE6B0A">
        <w:t>he relationship between SSB index and the candidate SS/PBCH block index, is shown in the figure below.</w:t>
      </w:r>
      <w:r w:rsidR="00460A9F">
        <w:t xml:space="preserve"> </w:t>
      </w:r>
      <w:r w:rsidR="006C3FC0">
        <w:t>RAN1 has</w:t>
      </w:r>
      <w:r w:rsidR="00460A9F">
        <w:t xml:space="preserve"> also</w:t>
      </w:r>
      <w:r w:rsidR="006C3FC0">
        <w:t xml:space="preserve"> defined the parameter Q which represents the </w:t>
      </w:r>
      <w:r w:rsidR="007B5C63">
        <w:t xml:space="preserve">maximum </w:t>
      </w:r>
      <w:r w:rsidR="006C3FC0">
        <w:t xml:space="preserve">number of beams to be cycled. Q=4 in the example </w:t>
      </w:r>
      <w:r w:rsidR="001A5BCF">
        <w:t>in Fig. 1</w:t>
      </w:r>
      <w:r w:rsidR="006C3FC0">
        <w:t>, while the number of SSB candidate positions in the example is equal to 10</w:t>
      </w:r>
      <w:r w:rsidR="007B5C63">
        <w:t xml:space="preserve"> (SCS = 15 kHz)</w:t>
      </w:r>
      <w:r w:rsidR="006C3FC0">
        <w:t>. From the figure, different SSB candidate position indexes can lead to the same SSB index</w:t>
      </w:r>
      <w:r w:rsidR="00460A9F">
        <w:t>. F</w:t>
      </w:r>
      <w:r w:rsidR="006C3FC0">
        <w:t>or example, SSB index 0</w:t>
      </w:r>
      <w:r w:rsidR="00460A9F">
        <w:t>, can be sent in the c</w:t>
      </w:r>
      <w:r w:rsidR="006C3FC0">
        <w:t xml:space="preserve">andidate SSB positions 0, 4 </w:t>
      </w:r>
      <w:r w:rsidR="001A5BCF">
        <w:t xml:space="preserve">or </w:t>
      </w:r>
      <w:r w:rsidR="006C3FC0">
        <w:t>8</w:t>
      </w:r>
      <w:r w:rsidR="001A5BCF">
        <w:t>, depending on the LBT result</w:t>
      </w:r>
    </w:p>
    <w:p w14:paraId="060E5DD5" w14:textId="08D4B476" w:rsidR="006C3FC0" w:rsidRDefault="00460A9F" w:rsidP="00E64435">
      <w:pPr>
        <w:jc w:val="both"/>
      </w:pPr>
      <w:r>
        <w:rPr>
          <w:noProof/>
        </w:rPr>
        <w:lastRenderedPageBreak/>
        <w:drawing>
          <wp:inline distT="0" distB="0" distL="0" distR="0" wp14:anchorId="2121506E" wp14:editId="5FDA1723">
            <wp:extent cx="6082384" cy="206690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3066" cy="2070538"/>
                    </a:xfrm>
                    <a:prstGeom prst="rect">
                      <a:avLst/>
                    </a:prstGeom>
                    <a:noFill/>
                  </pic:spPr>
                </pic:pic>
              </a:graphicData>
            </a:graphic>
          </wp:inline>
        </w:drawing>
      </w:r>
      <w:r w:rsidR="006C3FC0">
        <w:rPr>
          <w:noProof/>
        </w:rPr>
        <mc:AlternateContent>
          <mc:Choice Requires="wps">
            <w:drawing>
              <wp:anchor distT="0" distB="0" distL="114300" distR="114300" simplePos="0" relativeHeight="251670528" behindDoc="0" locked="0" layoutInCell="1" allowOverlap="1" wp14:anchorId="6E069786" wp14:editId="631BCE5C">
                <wp:simplePos x="0" y="0"/>
                <wp:positionH relativeFrom="column">
                  <wp:posOffset>-151765</wp:posOffset>
                </wp:positionH>
                <wp:positionV relativeFrom="paragraph">
                  <wp:posOffset>2203450</wp:posOffset>
                </wp:positionV>
                <wp:extent cx="646430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6464300" cy="635"/>
                        </a:xfrm>
                        <a:prstGeom prst="rect">
                          <a:avLst/>
                        </a:prstGeom>
                        <a:solidFill>
                          <a:prstClr val="white"/>
                        </a:solidFill>
                        <a:ln>
                          <a:noFill/>
                        </a:ln>
                      </wps:spPr>
                      <wps:txbx>
                        <w:txbxContent>
                          <w:p w14:paraId="7F1D2ECB" w14:textId="3A43BBFC" w:rsidR="006C3FC0" w:rsidRPr="00522400" w:rsidRDefault="006C3FC0" w:rsidP="006C3FC0">
                            <w:pPr>
                              <w:pStyle w:val="Caption"/>
                              <w:rPr>
                                <w:rFonts w:ascii="Times New Roman" w:hAnsi="Times New Roman"/>
                                <w:sz w:val="20"/>
                              </w:rPr>
                            </w:pPr>
                            <w:r>
                              <w:t xml:space="preserve">Figure </w:t>
                            </w:r>
                            <w:r w:rsidR="002C127E">
                              <w:fldChar w:fldCharType="begin"/>
                            </w:r>
                            <w:r w:rsidR="002C127E">
                              <w:instrText xml:space="preserve"> SEQ Figure \* ARABIC </w:instrText>
                            </w:r>
                            <w:r w:rsidR="002C127E">
                              <w:fldChar w:fldCharType="separate"/>
                            </w:r>
                            <w:r>
                              <w:rPr>
                                <w:noProof/>
                              </w:rPr>
                              <w:t>1</w:t>
                            </w:r>
                            <w:r w:rsidR="002C127E">
                              <w:rPr>
                                <w:noProof/>
                              </w:rPr>
                              <w:fldChar w:fldCharType="end"/>
                            </w:r>
                            <w:r>
                              <w:t xml:space="preserve"> - Relationship between SSB index and Candidate SSB index</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E069786" id="_x0000_t202" coordsize="21600,21600" o:spt="202" path="m,l,21600r21600,l21600,xe">
                <v:stroke joinstyle="miter"/>
                <v:path gradientshapeok="t" o:connecttype="rect"/>
              </v:shapetype>
              <v:shape id="Text Box 1" o:spid="_x0000_s1026" type="#_x0000_t202" style="position:absolute;left:0;text-align:left;margin-left:-11.95pt;margin-top:173.5pt;width:509pt;height:.0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" stroked="f">
                <v:textbox style="mso-fit-shape-to-text:t" inset="0,0,0,0">
                  <w:txbxContent>
                    <w:p w14:paraId="7F1D2ECB" w14:textId="3A43BBFC" w:rsidR="006C3FC0" w:rsidRPr="00522400" w:rsidRDefault="006C3FC0" w:rsidP="006C3FC0">
                      <w:pPr>
                        <w:pStyle w:val="Caption"/>
                        <w:rPr>
                          <w:rFonts w:ascii="Times New Roman" w:hAnsi="Times New Roman"/>
                          <w:sz w:val="20"/>
                        </w:rPr>
                      </w:pPr>
                      <w:r>
                        <w:t xml:space="preserve">Figure </w:t>
                      </w:r>
                      <w:r w:rsidR="00606980">
                        <w:fldChar w:fldCharType="begin"/>
                      </w:r>
                      <w:r w:rsidR="00606980">
                        <w:instrText xml:space="preserve"> SEQ Figure \* ARABIC </w:instrText>
                      </w:r>
                      <w:r w:rsidR="00606980">
                        <w:fldChar w:fldCharType="separate"/>
                      </w:r>
                      <w:r>
                        <w:rPr>
                          <w:noProof/>
                        </w:rPr>
                        <w:t>1</w:t>
                      </w:r>
                      <w:r w:rsidR="00606980">
                        <w:rPr>
                          <w:noProof/>
                        </w:rPr>
                        <w:fldChar w:fldCharType="end"/>
                      </w:r>
                      <w:r>
                        <w:t xml:space="preserve"> - Relationship between SSB index and Candidate SSB index</w:t>
                      </w:r>
                    </w:p>
                  </w:txbxContent>
                </v:textbox>
              </v:shape>
            </w:pict>
          </mc:Fallback>
        </mc:AlternateContent>
      </w:r>
    </w:p>
    <w:p w14:paraId="4D458A7A" w14:textId="285613C9" w:rsidR="006C3FC0" w:rsidRDefault="006C3FC0" w:rsidP="00E64435">
      <w:pPr>
        <w:jc w:val="both"/>
      </w:pPr>
    </w:p>
    <w:p w14:paraId="630A9A56" w14:textId="67D24BF4" w:rsidR="001444B5" w:rsidRDefault="00161AC3" w:rsidP="00161AC3">
      <w:pPr>
        <w:pStyle w:val="RAN4observation0"/>
      </w:pPr>
      <w:r>
        <w:t xml:space="preserve">RAN1 has introduced </w:t>
      </w:r>
      <w:r w:rsidR="00831CEA">
        <w:t>a feature in NR-U to allow for multiple opportunities for sending the SSBs during a DRS transmission window. The purpose of this feature is</w:t>
      </w:r>
      <w:r w:rsidR="001444B5">
        <w:t xml:space="preserve"> to</w:t>
      </w:r>
      <w:r w:rsidR="00831CEA">
        <w:t xml:space="preserve"> </w:t>
      </w:r>
      <w:r w:rsidR="001444B5">
        <w:t>minimize the effects of LBT failures for sending SSBs, allowing for some flexibility for sending DRS.</w:t>
      </w:r>
    </w:p>
    <w:p w14:paraId="0C9561FF" w14:textId="12D74537" w:rsidR="00563E8A" w:rsidRDefault="00563E8A" w:rsidP="00463563">
      <w:pPr>
        <w:pStyle w:val="RAN4Observation"/>
        <w:numPr>
          <w:ilvl w:val="0"/>
          <w:numId w:val="0"/>
        </w:numPr>
        <w:jc w:val="both"/>
      </w:pPr>
      <w:r w:rsidRPr="00E20DD2">
        <w:rPr>
          <w:lang w:val="en-US"/>
        </w:rPr>
        <w:t xml:space="preserve">It is also worth </w:t>
      </w:r>
      <w:r>
        <w:rPr>
          <w:lang w:val="en-US"/>
        </w:rPr>
        <w:t>mentioning</w:t>
      </w:r>
      <w:r>
        <w:t xml:space="preserve"> that in LTE-LAA, a DMTC window was introduced, so that the uncertainty of the transmissions of the Discovery Reference Signals (DRS) was taken into account. In NR, the requirements are already defined in terms of an SMTC. The mechanism introduced by RAN1 in NR-U is a way of accommodating NR specifics, such as the transmission of different beams and SSBs, but it is no different from the mechanism already existing in LTE-LAA in its essence, which is to allow an uncertainty of the DRS transmissions due to LBT failure. </w:t>
      </w:r>
    </w:p>
    <w:p w14:paraId="596B1FB3" w14:textId="0734DF93" w:rsidR="00563E8A" w:rsidRDefault="00563E8A" w:rsidP="00D81583">
      <w:pPr>
        <w:pStyle w:val="RAN4observation0"/>
      </w:pPr>
      <w:r>
        <w:t xml:space="preserve">In LTE-LAA, a DMTC window was introduced to allow for the uncertainty when sending the discovery reference signals (DRS). In NR, the measurement requirements are already defined in terms of a SMTC, and the mechanism introduced by RAN1 in NR-U is to allow for an uncertainty in the exact position that SSBs are sent, in a similar manner to what was done for LTE-LAA. </w:t>
      </w:r>
    </w:p>
    <w:p w14:paraId="1271BE55" w14:textId="77777777" w:rsidR="00143D72" w:rsidRPr="00143D72" w:rsidRDefault="00143D72" w:rsidP="00143D72">
      <w:pPr>
        <w:rPr>
          <w:lang w:val="en-GB"/>
        </w:rPr>
      </w:pPr>
    </w:p>
    <w:p w14:paraId="0941DF30" w14:textId="39A53A31" w:rsidR="006C3FC0" w:rsidRDefault="001444B5" w:rsidP="001444B5">
      <w:pPr>
        <w:pStyle w:val="RAN4observation0"/>
        <w:numPr>
          <w:ilvl w:val="0"/>
          <w:numId w:val="0"/>
        </w:numPr>
      </w:pPr>
      <w:r w:rsidRPr="001444B5">
        <w:rPr>
          <w:noProof/>
        </w:rPr>
        <mc:AlternateContent>
          <mc:Choice Requires="wps">
            <w:drawing>
              <wp:anchor distT="45720" distB="45720" distL="114300" distR="114300" simplePos="0" relativeHeight="251672576" behindDoc="0" locked="0" layoutInCell="1" allowOverlap="1" wp14:anchorId="3BB602D9" wp14:editId="1F5672E1">
                <wp:simplePos x="0" y="0"/>
                <wp:positionH relativeFrom="column">
                  <wp:posOffset>120650</wp:posOffset>
                </wp:positionH>
                <wp:positionV relativeFrom="paragraph">
                  <wp:posOffset>267970</wp:posOffset>
                </wp:positionV>
                <wp:extent cx="5943600" cy="261620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616200"/>
                        </a:xfrm>
                        <a:prstGeom prst="rect">
                          <a:avLst/>
                        </a:prstGeom>
                        <a:solidFill>
                          <a:srgbClr val="FFFFFF"/>
                        </a:solidFill>
                        <a:ln w="9525">
                          <a:solidFill>
                            <a:srgbClr val="000000"/>
                          </a:solidFill>
                          <a:miter lim="800000"/>
                          <a:headEnd/>
                          <a:tailEnd/>
                        </a:ln>
                      </wps:spPr>
                      <wps:txbx>
                        <w:txbxContent>
                          <w:p w14:paraId="3FA2A800" w14:textId="449A7B9F" w:rsidR="001444B5" w:rsidRPr="00161AC3" w:rsidRDefault="001444B5" w:rsidP="001444B5">
                            <w:pPr>
                              <w:spacing w:after="0" w:line="240" w:lineRule="auto"/>
                              <w:rPr>
                                <w:rFonts w:ascii="Times" w:eastAsia="Times New Roman" w:hAnsi="Times" w:cs="Times"/>
                                <w:szCs w:val="20"/>
                                <w:lang w:val="en-GB" w:eastAsia="da-DK"/>
                              </w:rPr>
                            </w:pPr>
                            <w:r w:rsidRPr="00161AC3">
                              <w:rPr>
                                <w:rFonts w:ascii="Times" w:eastAsia="Times New Roman" w:hAnsi="Times" w:cs="Times"/>
                                <w:szCs w:val="20"/>
                                <w:highlight w:val="green"/>
                                <w:lang w:val="en-GB" w:eastAsia="da-DK"/>
                              </w:rPr>
                              <w:t>Agreement</w:t>
                            </w:r>
                            <w:r>
                              <w:rPr>
                                <w:rFonts w:ascii="Times" w:eastAsia="Times New Roman" w:hAnsi="Times" w:cs="Times"/>
                                <w:szCs w:val="20"/>
                                <w:highlight w:val="green"/>
                                <w:lang w:val="en-GB" w:eastAsia="da-DK"/>
                              </w:rPr>
                              <w:t xml:space="preserve"> RAN1 96b</w:t>
                            </w:r>
                            <w:r w:rsidRPr="00161AC3">
                              <w:rPr>
                                <w:rFonts w:ascii="Times" w:eastAsia="Times New Roman" w:hAnsi="Times" w:cs="Times"/>
                                <w:szCs w:val="20"/>
                                <w:highlight w:val="green"/>
                                <w:lang w:val="en-GB" w:eastAsia="da-DK"/>
                              </w:rPr>
                              <w:t>:</w:t>
                            </w:r>
                          </w:p>
                          <w:p w14:paraId="5E13EBCE" w14:textId="77777777" w:rsidR="001444B5" w:rsidRPr="00161AC3" w:rsidRDefault="001444B5" w:rsidP="001444B5">
                            <w:pPr>
                              <w:spacing w:after="0" w:line="240" w:lineRule="auto"/>
                              <w:rPr>
                                <w:rFonts w:ascii="Times" w:eastAsia="Times New Roman" w:hAnsi="Times" w:cs="Times"/>
                                <w:szCs w:val="20"/>
                                <w:lang w:val="en-GB" w:eastAsia="da-DK"/>
                              </w:rPr>
                            </w:pPr>
                            <w:r w:rsidRPr="00161AC3">
                              <w:rPr>
                                <w:rFonts w:ascii="Times" w:eastAsia="Times New Roman" w:hAnsi="Times" w:cs="Times"/>
                                <w:szCs w:val="20"/>
                                <w:lang w:val="en-GB" w:eastAsia="da-DK"/>
                              </w:rPr>
                              <w:t xml:space="preserve">The maximum DRS transmission window duration is 5 </w:t>
                            </w:r>
                            <w:r w:rsidRPr="00161AC3">
                              <w:rPr>
                                <w:rFonts w:ascii="Times" w:eastAsia="Times New Roman" w:hAnsi="Times" w:cs="Times"/>
                                <w:szCs w:val="20"/>
                                <w:lang w:val="en-GB" w:eastAsia="da-DK"/>
                              </w:rPr>
                              <w:t>ms.</w:t>
                            </w:r>
                          </w:p>
                          <w:p w14:paraId="3D4A1594" w14:textId="77777777" w:rsidR="001444B5" w:rsidRPr="00161AC3" w:rsidRDefault="001444B5" w:rsidP="00033D4E">
                            <w:pPr>
                              <w:numPr>
                                <w:ilvl w:val="0"/>
                                <w:numId w:val="7"/>
                              </w:numPr>
                              <w:spacing w:after="0" w:line="240" w:lineRule="auto"/>
                              <w:ind w:left="54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The maximum number of candidate SSB positions within a DRS transmission window, Y, is selected as Y = 10 for 15 kHz SCS and Y = 20 for 30 kHz SCS.</w:t>
                            </w:r>
                          </w:p>
                          <w:p w14:paraId="5E2A9D24" w14:textId="77777777" w:rsidR="001444B5" w:rsidRPr="00161AC3" w:rsidRDefault="001444B5" w:rsidP="00033D4E">
                            <w:pPr>
                              <w:numPr>
                                <w:ilvl w:val="1"/>
                                <w:numId w:val="7"/>
                              </w:numPr>
                              <w:spacing w:after="0" w:line="240" w:lineRule="auto"/>
                              <w:ind w:left="162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Note: The number of starting points for DRS transmissions with the 5 ms window that can use a Cat. 2 LBT is to be discussed further as part of channel access discussions.</w:t>
                            </w:r>
                          </w:p>
                          <w:p w14:paraId="23DB47C5" w14:textId="77777777" w:rsidR="001444B5" w:rsidRPr="00161AC3" w:rsidRDefault="001444B5" w:rsidP="00033D4E">
                            <w:pPr>
                              <w:numPr>
                                <w:ilvl w:val="0"/>
                                <w:numId w:val="7"/>
                              </w:numPr>
                              <w:spacing w:after="0" w:line="240" w:lineRule="auto"/>
                              <w:ind w:left="54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FFS: If the DRS transmission window is configurable, and if yes, how to configure and indicate the window, including the range of configurable values.</w:t>
                            </w:r>
                          </w:p>
                          <w:p w14:paraId="2E5D144E" w14:textId="77777777" w:rsidR="001444B5" w:rsidRDefault="001444B5" w:rsidP="001444B5">
                            <w:pPr>
                              <w:rPr>
                                <w:lang w:val="en-GB"/>
                              </w:rPr>
                            </w:pPr>
                          </w:p>
                          <w:p w14:paraId="43E0AF9B" w14:textId="77777777" w:rsidR="001444B5" w:rsidRDefault="001444B5" w:rsidP="001444B5">
                            <w:pPr>
                              <w:spacing w:after="0" w:line="240" w:lineRule="auto"/>
                              <w:rPr>
                                <w:lang w:val="en-GB"/>
                              </w:rPr>
                            </w:pPr>
                            <w:r w:rsidRPr="00161AC3">
                              <w:rPr>
                                <w:rFonts w:ascii="Times" w:eastAsia="Times New Roman" w:hAnsi="Times" w:cs="Times"/>
                                <w:szCs w:val="20"/>
                                <w:highlight w:val="green"/>
                                <w:lang w:val="en-GB" w:eastAsia="da-DK"/>
                              </w:rPr>
                              <w:t>Agreement</w:t>
                            </w:r>
                            <w:r>
                              <w:rPr>
                                <w:rFonts w:ascii="Times" w:eastAsia="Times New Roman" w:hAnsi="Times" w:cs="Times"/>
                                <w:szCs w:val="20"/>
                                <w:highlight w:val="green"/>
                                <w:lang w:val="en-GB" w:eastAsia="da-DK"/>
                              </w:rPr>
                              <w:t xml:space="preserve"> RAN1 99</w:t>
                            </w:r>
                            <w:r w:rsidRPr="00161AC3">
                              <w:rPr>
                                <w:rFonts w:ascii="Times" w:eastAsia="Times New Roman" w:hAnsi="Times" w:cs="Times"/>
                                <w:szCs w:val="20"/>
                                <w:highlight w:val="green"/>
                                <w:lang w:val="en-GB" w:eastAsia="da-DK"/>
                              </w:rPr>
                              <w:t>:</w:t>
                            </w:r>
                          </w:p>
                          <w:p w14:paraId="1DBD9AC9" w14:textId="77777777" w:rsidR="001444B5" w:rsidRPr="00161AC3" w:rsidRDefault="001444B5" w:rsidP="001444B5">
                            <w:pPr>
                              <w:spacing w:after="0" w:line="240" w:lineRule="auto"/>
                              <w:rPr>
                                <w:rFonts w:ascii="Times" w:eastAsia="Times New Roman" w:hAnsi="Times" w:cs="Times"/>
                                <w:color w:val="000000" w:themeColor="text1"/>
                                <w:szCs w:val="20"/>
                                <w:lang w:eastAsia="da-DK"/>
                              </w:rPr>
                            </w:pPr>
                            <w:r w:rsidRPr="00161AC3">
                              <w:rPr>
                                <w:rFonts w:ascii="Times" w:eastAsia="Times New Roman" w:hAnsi="Times" w:cs="Times"/>
                                <w:color w:val="000000" w:themeColor="text1"/>
                                <w:szCs w:val="20"/>
                                <w:lang w:eastAsia="da-DK"/>
                              </w:rPr>
                              <w:t>DRS transmission window duration can be configured as 0.5 1, 2, 3, 4, or 5 ms</w:t>
                            </w:r>
                          </w:p>
                          <w:p w14:paraId="0DE7E3D2" w14:textId="21C1269A" w:rsidR="001444B5" w:rsidRDefault="001444B5" w:rsidP="001444B5">
                            <w:pPr>
                              <w:spacing w:after="0" w:line="240" w:lineRule="auto"/>
                              <w:rPr>
                                <w:rFonts w:ascii="Times" w:eastAsia="Times New Roman" w:hAnsi="Times" w:cs="Times"/>
                                <w:color w:val="000000" w:themeColor="text1"/>
                                <w:szCs w:val="20"/>
                                <w:lang w:eastAsia="da-DK"/>
                              </w:rPr>
                            </w:pPr>
                            <w:r w:rsidRPr="00161AC3">
                              <w:rPr>
                                <w:rFonts w:ascii="Times" w:eastAsia="Times New Roman" w:hAnsi="Times" w:cs="Times"/>
                                <w:color w:val="000000" w:themeColor="text1"/>
                                <w:szCs w:val="20"/>
                                <w:lang w:eastAsia="da-DK"/>
                              </w:rPr>
                              <w:t>If the DRS transmission window duration is not known, a UE may assume the DRS transmission window has a duration of 5 ms.</w:t>
                            </w:r>
                          </w:p>
                          <w:p w14:paraId="09F2B93E" w14:textId="3FB92417" w:rsidR="000439E0" w:rsidRDefault="000439E0" w:rsidP="001444B5">
                            <w:pPr>
                              <w:spacing w:after="0" w:line="240" w:lineRule="auto"/>
                              <w:rPr>
                                <w:rFonts w:ascii="Times" w:eastAsia="Times New Roman" w:hAnsi="Times" w:cs="Times"/>
                                <w:color w:val="000000" w:themeColor="text1"/>
                                <w:szCs w:val="20"/>
                                <w:lang w:eastAsia="da-DK"/>
                              </w:rPr>
                            </w:pPr>
                          </w:p>
                          <w:p w14:paraId="3CAA5269" w14:textId="5281E3F9" w:rsidR="000439E0" w:rsidRPr="000439E0" w:rsidRDefault="000439E0" w:rsidP="001444B5">
                            <w:pPr>
                              <w:spacing w:after="0" w:line="240" w:lineRule="auto"/>
                              <w:rPr>
                                <w:rFonts w:ascii="Times" w:eastAsia="Times New Roman" w:hAnsi="Times" w:cs="Times"/>
                                <w:color w:val="000000" w:themeColor="text1"/>
                                <w:szCs w:val="20"/>
                                <w:lang w:eastAsia="da-DK"/>
                              </w:rPr>
                            </w:pPr>
                            <w:r w:rsidRPr="000439E0">
                              <w:rPr>
                                <w:rFonts w:ascii="Times" w:hAnsi="Times" w:cs="Times"/>
                                <w:color w:val="000000" w:themeColor="text1"/>
                                <w:szCs w:val="20"/>
                                <w:lang w:val="en-GB"/>
                              </w:rPr>
                              <w:t>From a UE’s perspective, the number of transmitted SSBs within a DRS transmission window is not larger than Q</w:t>
                            </w:r>
                            <w:r>
                              <w:rPr>
                                <w:rFonts w:ascii="Times" w:hAnsi="Times" w:cs="Times"/>
                                <w:color w:val="000000" w:themeColor="text1"/>
                                <w:szCs w:val="20"/>
                                <w:lang w:val="en-GB"/>
                              </w:rPr>
                              <w:t>.</w:t>
                            </w:r>
                          </w:p>
                          <w:p w14:paraId="782357E9" w14:textId="7EF07F66" w:rsidR="000439E0" w:rsidRDefault="000439E0" w:rsidP="001444B5">
                            <w:pPr>
                              <w:spacing w:after="0" w:line="240" w:lineRule="auto"/>
                              <w:rPr>
                                <w:rFonts w:ascii="Times" w:eastAsia="Times New Roman" w:hAnsi="Times" w:cs="Times"/>
                                <w:color w:val="000000" w:themeColor="text1"/>
                                <w:szCs w:val="20"/>
                                <w:lang w:eastAsia="da-DK"/>
                              </w:rPr>
                            </w:pPr>
                          </w:p>
                          <w:p w14:paraId="6B5472B3" w14:textId="77777777" w:rsidR="000439E0" w:rsidRPr="00161AC3" w:rsidRDefault="000439E0" w:rsidP="001444B5">
                            <w:pPr>
                              <w:spacing w:after="0" w:line="240" w:lineRule="auto"/>
                              <w:rPr>
                                <w:rFonts w:ascii="Times" w:eastAsia="Times New Roman" w:hAnsi="Times" w:cs="Times"/>
                                <w:color w:val="000000" w:themeColor="text1"/>
                                <w:szCs w:val="20"/>
                                <w:lang w:eastAsia="da-DK"/>
                              </w:rPr>
                            </w:pPr>
                          </w:p>
                          <w:p w14:paraId="549BFC92" w14:textId="787F3ED5" w:rsidR="001444B5" w:rsidRDefault="001444B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B602D9" id="Text Box 2" o:spid="_x0000_s1027" type="#_x0000_t202" style="position:absolute;margin-left:9.5pt;margin-top:21.1pt;width:468pt;height:206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">
                <v:textbox>
                  <w:txbxContent>
                    <w:p w14:paraId="3FA2A800" w14:textId="449A7B9F" w:rsidR="001444B5" w:rsidRPr="00161AC3" w:rsidRDefault="001444B5" w:rsidP="001444B5">
                      <w:pPr>
                        <w:spacing w:after="0" w:line="240" w:lineRule="auto"/>
                        <w:rPr>
                          <w:rFonts w:ascii="Times" w:eastAsia="Times New Roman" w:hAnsi="Times" w:cs="Times"/>
                          <w:szCs w:val="20"/>
                          <w:lang w:val="en-GB" w:eastAsia="da-DK"/>
                        </w:rPr>
                      </w:pPr>
                      <w:r w:rsidRPr="00161AC3">
                        <w:rPr>
                          <w:rFonts w:ascii="Times" w:eastAsia="Times New Roman" w:hAnsi="Times" w:cs="Times"/>
                          <w:szCs w:val="20"/>
                          <w:highlight w:val="green"/>
                          <w:lang w:val="en-GB" w:eastAsia="da-DK"/>
                        </w:rPr>
                        <w:t>Agreement</w:t>
                      </w:r>
                      <w:r>
                        <w:rPr>
                          <w:rFonts w:ascii="Times" w:eastAsia="Times New Roman" w:hAnsi="Times" w:cs="Times"/>
                          <w:szCs w:val="20"/>
                          <w:highlight w:val="green"/>
                          <w:lang w:val="en-GB" w:eastAsia="da-DK"/>
                        </w:rPr>
                        <w:t xml:space="preserve"> RAN1 96b</w:t>
                      </w:r>
                      <w:r w:rsidRPr="00161AC3">
                        <w:rPr>
                          <w:rFonts w:ascii="Times" w:eastAsia="Times New Roman" w:hAnsi="Times" w:cs="Times"/>
                          <w:szCs w:val="20"/>
                          <w:highlight w:val="green"/>
                          <w:lang w:val="en-GB" w:eastAsia="da-DK"/>
                        </w:rPr>
                        <w:t>:</w:t>
                      </w:r>
                    </w:p>
                    <w:p w14:paraId="5E13EBCE" w14:textId="77777777" w:rsidR="001444B5" w:rsidRPr="00161AC3" w:rsidRDefault="001444B5" w:rsidP="001444B5">
                      <w:pPr>
                        <w:spacing w:after="0" w:line="240" w:lineRule="auto"/>
                        <w:rPr>
                          <w:rFonts w:ascii="Times" w:eastAsia="Times New Roman" w:hAnsi="Times" w:cs="Times"/>
                          <w:szCs w:val="20"/>
                          <w:lang w:val="en-GB" w:eastAsia="da-DK"/>
                        </w:rPr>
                      </w:pPr>
                      <w:r w:rsidRPr="00161AC3">
                        <w:rPr>
                          <w:rFonts w:ascii="Times" w:eastAsia="Times New Roman" w:hAnsi="Times" w:cs="Times"/>
                          <w:szCs w:val="20"/>
                          <w:lang w:val="en-GB" w:eastAsia="da-DK"/>
                        </w:rPr>
                        <w:t xml:space="preserve">The maximum DRS transmission window duration is 5 </w:t>
                      </w:r>
                      <w:proofErr w:type="spellStart"/>
                      <w:r w:rsidRPr="00161AC3">
                        <w:rPr>
                          <w:rFonts w:ascii="Times" w:eastAsia="Times New Roman" w:hAnsi="Times" w:cs="Times"/>
                          <w:szCs w:val="20"/>
                          <w:lang w:val="en-GB" w:eastAsia="da-DK"/>
                        </w:rPr>
                        <w:t>ms</w:t>
                      </w:r>
                      <w:proofErr w:type="spellEnd"/>
                      <w:r w:rsidRPr="00161AC3">
                        <w:rPr>
                          <w:rFonts w:ascii="Times" w:eastAsia="Times New Roman" w:hAnsi="Times" w:cs="Times"/>
                          <w:szCs w:val="20"/>
                          <w:lang w:val="en-GB" w:eastAsia="da-DK"/>
                        </w:rPr>
                        <w:t>.</w:t>
                      </w:r>
                    </w:p>
                    <w:p w14:paraId="3D4A1594" w14:textId="77777777" w:rsidR="001444B5" w:rsidRPr="00161AC3" w:rsidRDefault="001444B5" w:rsidP="00033D4E">
                      <w:pPr>
                        <w:numPr>
                          <w:ilvl w:val="0"/>
                          <w:numId w:val="7"/>
                        </w:numPr>
                        <w:spacing w:after="0" w:line="240" w:lineRule="auto"/>
                        <w:ind w:left="54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 xml:space="preserve">The maximum number of </w:t>
                      </w:r>
                      <w:proofErr w:type="gramStart"/>
                      <w:r w:rsidRPr="00161AC3">
                        <w:rPr>
                          <w:rFonts w:ascii="Times" w:eastAsia="Times New Roman" w:hAnsi="Times" w:cs="Times"/>
                          <w:szCs w:val="20"/>
                          <w:lang w:val="en-GB" w:eastAsia="da-DK"/>
                        </w:rPr>
                        <w:t>candidate</w:t>
                      </w:r>
                      <w:proofErr w:type="gramEnd"/>
                      <w:r w:rsidRPr="00161AC3">
                        <w:rPr>
                          <w:rFonts w:ascii="Times" w:eastAsia="Times New Roman" w:hAnsi="Times" w:cs="Times"/>
                          <w:szCs w:val="20"/>
                          <w:lang w:val="en-GB" w:eastAsia="da-DK"/>
                        </w:rPr>
                        <w:t xml:space="preserve"> SSB positions within a DRS transmission window, Y, is selected as Y = 10 for 15 kHz SCS and Y = 20 for 30 kHz SCS.</w:t>
                      </w:r>
                    </w:p>
                    <w:p w14:paraId="5E2A9D24" w14:textId="77777777" w:rsidR="001444B5" w:rsidRPr="00161AC3" w:rsidRDefault="001444B5" w:rsidP="00033D4E">
                      <w:pPr>
                        <w:numPr>
                          <w:ilvl w:val="1"/>
                          <w:numId w:val="7"/>
                        </w:numPr>
                        <w:spacing w:after="0" w:line="240" w:lineRule="auto"/>
                        <w:ind w:left="162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 xml:space="preserve">Note: The number of starting points for DRS transmissions with the 5 </w:t>
                      </w:r>
                      <w:proofErr w:type="spellStart"/>
                      <w:r w:rsidRPr="00161AC3">
                        <w:rPr>
                          <w:rFonts w:ascii="Times" w:eastAsia="Times New Roman" w:hAnsi="Times" w:cs="Times"/>
                          <w:szCs w:val="20"/>
                          <w:lang w:val="en-GB" w:eastAsia="da-DK"/>
                        </w:rPr>
                        <w:t>ms</w:t>
                      </w:r>
                      <w:proofErr w:type="spellEnd"/>
                      <w:r w:rsidRPr="00161AC3">
                        <w:rPr>
                          <w:rFonts w:ascii="Times" w:eastAsia="Times New Roman" w:hAnsi="Times" w:cs="Times"/>
                          <w:szCs w:val="20"/>
                          <w:lang w:val="en-GB" w:eastAsia="da-DK"/>
                        </w:rPr>
                        <w:t xml:space="preserve"> window that can use a Cat. 2 LBT is to be discussed further as part of channel access discussions.</w:t>
                      </w:r>
                    </w:p>
                    <w:p w14:paraId="23DB47C5" w14:textId="77777777" w:rsidR="001444B5" w:rsidRPr="00161AC3" w:rsidRDefault="001444B5" w:rsidP="00033D4E">
                      <w:pPr>
                        <w:numPr>
                          <w:ilvl w:val="0"/>
                          <w:numId w:val="7"/>
                        </w:numPr>
                        <w:spacing w:after="0" w:line="240" w:lineRule="auto"/>
                        <w:ind w:left="54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FFS: If the DRS transmission window is configurable, and if yes, how to configure and indicate the window, including the range of configurable values.</w:t>
                      </w:r>
                    </w:p>
                    <w:p w14:paraId="2E5D144E" w14:textId="77777777" w:rsidR="001444B5" w:rsidRDefault="001444B5" w:rsidP="001444B5">
                      <w:pPr>
                        <w:rPr>
                          <w:lang w:val="en-GB"/>
                        </w:rPr>
                      </w:pPr>
                    </w:p>
                    <w:p w14:paraId="43E0AF9B" w14:textId="77777777" w:rsidR="001444B5" w:rsidRDefault="001444B5" w:rsidP="001444B5">
                      <w:pPr>
                        <w:spacing w:after="0" w:line="240" w:lineRule="auto"/>
                        <w:rPr>
                          <w:lang w:val="en-GB"/>
                        </w:rPr>
                      </w:pPr>
                      <w:r w:rsidRPr="00161AC3">
                        <w:rPr>
                          <w:rFonts w:ascii="Times" w:eastAsia="Times New Roman" w:hAnsi="Times" w:cs="Times"/>
                          <w:szCs w:val="20"/>
                          <w:highlight w:val="green"/>
                          <w:lang w:val="en-GB" w:eastAsia="da-DK"/>
                        </w:rPr>
                        <w:t>Agreement</w:t>
                      </w:r>
                      <w:r>
                        <w:rPr>
                          <w:rFonts w:ascii="Times" w:eastAsia="Times New Roman" w:hAnsi="Times" w:cs="Times"/>
                          <w:szCs w:val="20"/>
                          <w:highlight w:val="green"/>
                          <w:lang w:val="en-GB" w:eastAsia="da-DK"/>
                        </w:rPr>
                        <w:t xml:space="preserve"> RAN1 99</w:t>
                      </w:r>
                      <w:r w:rsidRPr="00161AC3">
                        <w:rPr>
                          <w:rFonts w:ascii="Times" w:eastAsia="Times New Roman" w:hAnsi="Times" w:cs="Times"/>
                          <w:szCs w:val="20"/>
                          <w:highlight w:val="green"/>
                          <w:lang w:val="en-GB" w:eastAsia="da-DK"/>
                        </w:rPr>
                        <w:t>:</w:t>
                      </w:r>
                    </w:p>
                    <w:p w14:paraId="1DBD9AC9" w14:textId="77777777" w:rsidR="001444B5" w:rsidRPr="00161AC3" w:rsidRDefault="001444B5" w:rsidP="001444B5">
                      <w:pPr>
                        <w:spacing w:after="0" w:line="240" w:lineRule="auto"/>
                        <w:rPr>
                          <w:rFonts w:ascii="Times" w:eastAsia="Times New Roman" w:hAnsi="Times" w:cs="Times"/>
                          <w:color w:val="000000" w:themeColor="text1"/>
                          <w:szCs w:val="20"/>
                          <w:lang w:eastAsia="da-DK"/>
                        </w:rPr>
                      </w:pPr>
                      <w:r w:rsidRPr="00161AC3">
                        <w:rPr>
                          <w:rFonts w:ascii="Times" w:eastAsia="Times New Roman" w:hAnsi="Times" w:cs="Times"/>
                          <w:color w:val="000000" w:themeColor="text1"/>
                          <w:szCs w:val="20"/>
                          <w:lang w:eastAsia="da-DK"/>
                        </w:rPr>
                        <w:t xml:space="preserve">DRS transmission window duration can be configured as 0.5 1, 2, 3, 4, or 5 </w:t>
                      </w:r>
                      <w:proofErr w:type="spellStart"/>
                      <w:r w:rsidRPr="00161AC3">
                        <w:rPr>
                          <w:rFonts w:ascii="Times" w:eastAsia="Times New Roman" w:hAnsi="Times" w:cs="Times"/>
                          <w:color w:val="000000" w:themeColor="text1"/>
                          <w:szCs w:val="20"/>
                          <w:lang w:eastAsia="da-DK"/>
                        </w:rPr>
                        <w:t>ms</w:t>
                      </w:r>
                      <w:proofErr w:type="spellEnd"/>
                    </w:p>
                    <w:p w14:paraId="0DE7E3D2" w14:textId="21C1269A" w:rsidR="001444B5" w:rsidRDefault="001444B5" w:rsidP="001444B5">
                      <w:pPr>
                        <w:spacing w:after="0" w:line="240" w:lineRule="auto"/>
                        <w:rPr>
                          <w:rFonts w:ascii="Times" w:eastAsia="Times New Roman" w:hAnsi="Times" w:cs="Times"/>
                          <w:color w:val="000000" w:themeColor="text1"/>
                          <w:szCs w:val="20"/>
                          <w:lang w:eastAsia="da-DK"/>
                        </w:rPr>
                      </w:pPr>
                      <w:r w:rsidRPr="00161AC3">
                        <w:rPr>
                          <w:rFonts w:ascii="Times" w:eastAsia="Times New Roman" w:hAnsi="Times" w:cs="Times"/>
                          <w:color w:val="000000" w:themeColor="text1"/>
                          <w:szCs w:val="20"/>
                          <w:lang w:eastAsia="da-DK"/>
                        </w:rPr>
                        <w:t xml:space="preserve">If the DRS transmission window duration is not known, a UE may assume the DRS transmission window has a duration of 5 </w:t>
                      </w:r>
                      <w:proofErr w:type="spellStart"/>
                      <w:r w:rsidRPr="00161AC3">
                        <w:rPr>
                          <w:rFonts w:ascii="Times" w:eastAsia="Times New Roman" w:hAnsi="Times" w:cs="Times"/>
                          <w:color w:val="000000" w:themeColor="text1"/>
                          <w:szCs w:val="20"/>
                          <w:lang w:eastAsia="da-DK"/>
                        </w:rPr>
                        <w:t>ms.</w:t>
                      </w:r>
                      <w:proofErr w:type="spellEnd"/>
                    </w:p>
                    <w:p w14:paraId="09F2B93E" w14:textId="3FB92417" w:rsidR="000439E0" w:rsidRDefault="000439E0" w:rsidP="001444B5">
                      <w:pPr>
                        <w:spacing w:after="0" w:line="240" w:lineRule="auto"/>
                        <w:rPr>
                          <w:rFonts w:ascii="Times" w:eastAsia="Times New Roman" w:hAnsi="Times" w:cs="Times"/>
                          <w:color w:val="000000" w:themeColor="text1"/>
                          <w:szCs w:val="20"/>
                          <w:lang w:eastAsia="da-DK"/>
                        </w:rPr>
                      </w:pPr>
                    </w:p>
                    <w:p w14:paraId="3CAA5269" w14:textId="5281E3F9" w:rsidR="000439E0" w:rsidRPr="000439E0" w:rsidRDefault="000439E0" w:rsidP="001444B5">
                      <w:pPr>
                        <w:spacing w:after="0" w:line="240" w:lineRule="auto"/>
                        <w:rPr>
                          <w:rFonts w:ascii="Times" w:eastAsia="Times New Roman" w:hAnsi="Times" w:cs="Times"/>
                          <w:color w:val="000000" w:themeColor="text1"/>
                          <w:szCs w:val="20"/>
                          <w:lang w:eastAsia="da-DK"/>
                        </w:rPr>
                      </w:pPr>
                      <w:r w:rsidRPr="000439E0">
                        <w:rPr>
                          <w:rFonts w:ascii="Times" w:hAnsi="Times" w:cs="Times"/>
                          <w:color w:val="000000" w:themeColor="text1"/>
                          <w:szCs w:val="20"/>
                          <w:lang w:val="en-GB"/>
                        </w:rPr>
                        <w:t>From a UE’s perspective, the number of transmitted SSBs within a DRS transmission window is not larger than Q</w:t>
                      </w:r>
                      <w:r>
                        <w:rPr>
                          <w:rFonts w:ascii="Times" w:hAnsi="Times" w:cs="Times"/>
                          <w:color w:val="000000" w:themeColor="text1"/>
                          <w:szCs w:val="20"/>
                          <w:lang w:val="en-GB"/>
                        </w:rPr>
                        <w:t>.</w:t>
                      </w:r>
                    </w:p>
                    <w:p w14:paraId="782357E9" w14:textId="7EF07F66" w:rsidR="000439E0" w:rsidRDefault="000439E0" w:rsidP="001444B5">
                      <w:pPr>
                        <w:spacing w:after="0" w:line="240" w:lineRule="auto"/>
                        <w:rPr>
                          <w:rFonts w:ascii="Times" w:eastAsia="Times New Roman" w:hAnsi="Times" w:cs="Times"/>
                          <w:color w:val="000000" w:themeColor="text1"/>
                          <w:szCs w:val="20"/>
                          <w:lang w:eastAsia="da-DK"/>
                        </w:rPr>
                      </w:pPr>
                    </w:p>
                    <w:p w14:paraId="6B5472B3" w14:textId="77777777" w:rsidR="000439E0" w:rsidRPr="00161AC3" w:rsidRDefault="000439E0" w:rsidP="001444B5">
                      <w:pPr>
                        <w:spacing w:after="0" w:line="240" w:lineRule="auto"/>
                        <w:rPr>
                          <w:rFonts w:ascii="Times" w:eastAsia="Times New Roman" w:hAnsi="Times" w:cs="Times"/>
                          <w:color w:val="000000" w:themeColor="text1"/>
                          <w:szCs w:val="20"/>
                          <w:lang w:eastAsia="da-DK"/>
                        </w:rPr>
                      </w:pPr>
                    </w:p>
                    <w:p w14:paraId="549BFC92" w14:textId="787F3ED5" w:rsidR="001444B5" w:rsidRDefault="001444B5"/>
                  </w:txbxContent>
                </v:textbox>
                <w10:wrap type="square"/>
              </v:shape>
            </w:pict>
          </mc:Fallback>
        </mc:AlternateContent>
      </w:r>
      <w:r>
        <w:t xml:space="preserve">Additionally, RAN1 has agreed on the following: </w:t>
      </w:r>
      <w:r w:rsidR="00831CEA">
        <w:t xml:space="preserve"> </w:t>
      </w:r>
    </w:p>
    <w:p w14:paraId="7F4BBD7B" w14:textId="13806A55" w:rsidR="000B0A49" w:rsidRPr="00161AC3" w:rsidRDefault="000B0A49" w:rsidP="000B0A49"/>
    <w:p w14:paraId="008C4A2E" w14:textId="432103FF" w:rsidR="000B0A49" w:rsidRDefault="001444B5" w:rsidP="001444B5">
      <w:pPr>
        <w:pStyle w:val="RAN4observation0"/>
      </w:pPr>
      <w:r>
        <w:t xml:space="preserve">The duration of the DRS transmission window is configurable by the </w:t>
      </w:r>
      <w:proofErr w:type="spellStart"/>
      <w:r>
        <w:t>gNB</w:t>
      </w:r>
      <w:proofErr w:type="spellEnd"/>
      <w:r>
        <w:t xml:space="preserve">, from 0.5 to 5 </w:t>
      </w:r>
      <w:proofErr w:type="spellStart"/>
      <w:r>
        <w:t>ms</w:t>
      </w:r>
      <w:proofErr w:type="spellEnd"/>
      <w:r>
        <w:t>.</w:t>
      </w:r>
    </w:p>
    <w:p w14:paraId="1E8CF0A2" w14:textId="60FA2A42" w:rsidR="000439E0" w:rsidRDefault="001B447A" w:rsidP="00553848">
      <w:pPr>
        <w:pStyle w:val="RAN4observation0"/>
      </w:pPr>
      <w:r>
        <w:t xml:space="preserve">To keep a long DRS transmission window when it is not necessary to do so, i.e. in low interference conditions, is inefficient for the </w:t>
      </w:r>
      <w:proofErr w:type="spellStart"/>
      <w:r>
        <w:t>gNB</w:t>
      </w:r>
      <w:proofErr w:type="spellEnd"/>
      <w:r>
        <w:t>.</w:t>
      </w:r>
      <w:r w:rsidR="00553848">
        <w:t xml:space="preserve"> </w:t>
      </w:r>
      <w:r w:rsidR="001444B5">
        <w:t xml:space="preserve">In low interference conditions, the DRS transmission window will be shorter, so that the </w:t>
      </w:r>
      <w:proofErr w:type="spellStart"/>
      <w:r w:rsidR="001444B5">
        <w:t>gNB</w:t>
      </w:r>
      <w:proofErr w:type="spellEnd"/>
      <w:r w:rsidR="001444B5">
        <w:t xml:space="preserve"> can </w:t>
      </w:r>
      <w:r w:rsidR="0024481F">
        <w:t>allocate</w:t>
      </w:r>
      <w:r w:rsidR="001444B5">
        <w:t xml:space="preserve"> the resources in a more efficient manner</w:t>
      </w:r>
      <w:r w:rsidR="000439E0">
        <w:t>.</w:t>
      </w:r>
    </w:p>
    <w:p w14:paraId="2E3F783D" w14:textId="1EA6AC43" w:rsidR="000439E0" w:rsidRPr="000439E0" w:rsidRDefault="000439E0" w:rsidP="000439E0">
      <w:pPr>
        <w:pStyle w:val="RAN4observation0"/>
      </w:pPr>
      <w:r>
        <w:t>In high interference conditions, the DRS transmission window might be longer, but that is precisely the scenario for which the RAN1 enhancement was introduced.</w:t>
      </w:r>
    </w:p>
    <w:p w14:paraId="61A194EA" w14:textId="72AA7896" w:rsidR="001444B5" w:rsidRDefault="001444B5" w:rsidP="001444B5">
      <w:pPr>
        <w:rPr>
          <w:lang w:val="en-GB"/>
        </w:rPr>
      </w:pPr>
      <w:r>
        <w:rPr>
          <w:lang w:val="en-GB"/>
        </w:rPr>
        <w:lastRenderedPageBreak/>
        <w:t>The assumption of the feature introduced by RAN1 is that UEs will be actually monitoring different candidate positions, otherwise there would be no reason for RAN1 to introduce such enhancement.</w:t>
      </w:r>
      <w:r w:rsidR="000439E0">
        <w:rPr>
          <w:lang w:val="en-GB"/>
        </w:rPr>
        <w:t xml:space="preserve"> Additionally, according to RAN1 agreements in RAN1 99:</w:t>
      </w:r>
    </w:p>
    <w:p w14:paraId="10E1036A" w14:textId="309F71A3" w:rsidR="000439E0" w:rsidRDefault="00553848" w:rsidP="000439E0">
      <w:pPr>
        <w:pStyle w:val="RAN4observation0"/>
      </w:pPr>
      <w:r>
        <w:t>According to RAN1 agreement in RAN1 #99, f</w:t>
      </w:r>
      <w:r w:rsidR="000439E0">
        <w:t xml:space="preserve">rom a UEs perspective, the number of transmitted SSBs within a DRS transmission window is not larger than Q. So, monitoring different candidate positions does not mean that the UE </w:t>
      </w:r>
      <w:r>
        <w:t xml:space="preserve">will be required to measure more </w:t>
      </w:r>
      <w:r w:rsidR="002A1405">
        <w:t>SSBs</w:t>
      </w:r>
      <w:r>
        <w:t xml:space="preserve"> than in Rel-15 NR.</w:t>
      </w:r>
    </w:p>
    <w:p w14:paraId="17D27C5B" w14:textId="69137066" w:rsidR="001B447A" w:rsidRDefault="001B447A" w:rsidP="001B447A">
      <w:pPr>
        <w:rPr>
          <w:lang w:val="en-GB"/>
        </w:rPr>
      </w:pPr>
      <w:r>
        <w:rPr>
          <w:lang w:val="en-GB"/>
        </w:rPr>
        <w:t xml:space="preserve">By defining </w:t>
      </w:r>
      <w:r w:rsidR="007B7396">
        <w:rPr>
          <w:lang w:val="en-GB"/>
        </w:rPr>
        <w:t xml:space="preserve">the </w:t>
      </w:r>
      <w:r w:rsidR="00E75021">
        <w:rPr>
          <w:lang w:val="en-GB"/>
        </w:rPr>
        <w:t>unavailability</w:t>
      </w:r>
      <w:r w:rsidR="007B7396">
        <w:rPr>
          <w:lang w:val="en-GB"/>
        </w:rPr>
        <w:t xml:space="preserve"> of the SMTC </w:t>
      </w:r>
      <w:r w:rsidR="00E75021">
        <w:rPr>
          <w:lang w:val="en-GB"/>
        </w:rPr>
        <w:t xml:space="preserve">as a function of the detected SSB position, as proposed in </w:t>
      </w:r>
      <w:r w:rsidR="00255666">
        <w:rPr>
          <w:lang w:val="en-GB"/>
        </w:rPr>
        <w:fldChar w:fldCharType="begin"/>
      </w:r>
      <w:r w:rsidR="00255666">
        <w:rPr>
          <w:lang w:val="en-GB"/>
        </w:rPr>
        <w:instrText xml:space="preserve"> REF _Ref37334422 \r \h </w:instrText>
      </w:r>
      <w:r w:rsidR="00255666">
        <w:rPr>
          <w:lang w:val="en-GB"/>
        </w:rPr>
      </w:r>
      <w:r w:rsidR="00255666">
        <w:rPr>
          <w:lang w:val="en-GB"/>
        </w:rPr>
        <w:fldChar w:fldCharType="separate"/>
      </w:r>
      <w:r w:rsidR="00255666">
        <w:rPr>
          <w:lang w:val="en-GB"/>
        </w:rPr>
        <w:t>[3]</w:t>
      </w:r>
      <w:r w:rsidR="00255666">
        <w:rPr>
          <w:lang w:val="en-GB"/>
        </w:rPr>
        <w:fldChar w:fldCharType="end"/>
      </w:r>
      <w:r w:rsidR="00E75021">
        <w:rPr>
          <w:lang w:val="en-GB"/>
        </w:rPr>
        <w:t xml:space="preserve"> two problems</w:t>
      </w:r>
      <w:r w:rsidR="00553848">
        <w:rPr>
          <w:lang w:val="en-GB"/>
        </w:rPr>
        <w:t xml:space="preserve"> arise</w:t>
      </w:r>
      <w:r w:rsidR="00E75021">
        <w:rPr>
          <w:lang w:val="en-GB"/>
        </w:rPr>
        <w:t>:</w:t>
      </w:r>
    </w:p>
    <w:p w14:paraId="703785FA" w14:textId="2ED216A4" w:rsidR="00E75021" w:rsidRDefault="00E75021" w:rsidP="00033D4E">
      <w:pPr>
        <w:pStyle w:val="ListParagraph"/>
        <w:numPr>
          <w:ilvl w:val="0"/>
          <w:numId w:val="8"/>
        </w:numPr>
        <w:rPr>
          <w:lang w:val="en-GB"/>
        </w:rPr>
      </w:pPr>
      <w:r>
        <w:rPr>
          <w:lang w:val="en-GB"/>
        </w:rPr>
        <w:t xml:space="preserve">The candidate position that the SSB is transmitted </w:t>
      </w:r>
      <w:r w:rsidR="00563E8A">
        <w:rPr>
          <w:lang w:val="en-GB"/>
        </w:rPr>
        <w:t>may change</w:t>
      </w:r>
      <w:r>
        <w:rPr>
          <w:lang w:val="en-GB"/>
        </w:rPr>
        <w:t xml:space="preserve"> according to the LBT procedure</w:t>
      </w:r>
      <w:r w:rsidR="00E20DD2">
        <w:rPr>
          <w:lang w:val="en-GB"/>
        </w:rPr>
        <w:t xml:space="preserve"> outcome</w:t>
      </w:r>
      <w:r>
        <w:rPr>
          <w:lang w:val="en-GB"/>
        </w:rPr>
        <w:t xml:space="preserve">, and this fact is inherent of the operation in unlicensed bands. Therefore, it is not possible to guarantee that the SSB will be always sent in the same candidate position, and this is the whole reason of the feature introduced by RAN1. </w:t>
      </w:r>
    </w:p>
    <w:p w14:paraId="070AB5FD" w14:textId="1B114404" w:rsidR="00E75021" w:rsidRPr="00E75021" w:rsidRDefault="00E75021" w:rsidP="00033D4E">
      <w:pPr>
        <w:pStyle w:val="ListParagraph"/>
        <w:numPr>
          <w:ilvl w:val="0"/>
          <w:numId w:val="8"/>
        </w:numPr>
        <w:rPr>
          <w:lang w:val="en-GB"/>
        </w:rPr>
      </w:pPr>
      <w:r>
        <w:rPr>
          <w:lang w:val="en-GB"/>
        </w:rPr>
        <w:t xml:space="preserve">If the UE constantly classifies a SMTC as unavailable, despite the fact that SSBs are transmitted by the </w:t>
      </w:r>
      <w:proofErr w:type="spellStart"/>
      <w:r>
        <w:rPr>
          <w:lang w:val="en-GB"/>
        </w:rPr>
        <w:t>gNB</w:t>
      </w:r>
      <w:proofErr w:type="spellEnd"/>
      <w:r>
        <w:rPr>
          <w:lang w:val="en-GB"/>
        </w:rPr>
        <w:t xml:space="preserve"> in later candidate positions, this will ultimately cause the UE to increase the measurement period</w:t>
      </w:r>
      <w:r w:rsidR="00E20DD2">
        <w:rPr>
          <w:lang w:val="en-GB"/>
        </w:rPr>
        <w:t xml:space="preserve"> </w:t>
      </w:r>
      <w:r w:rsidR="002A1405">
        <w:rPr>
          <w:lang w:val="en-GB"/>
        </w:rPr>
        <w:t>or</w:t>
      </w:r>
      <w:r>
        <w:rPr>
          <w:lang w:val="en-GB"/>
        </w:rPr>
        <w:t xml:space="preserve"> to constantly restart the measurements, delaying all the procedures that depend on these measurement reports</w:t>
      </w:r>
      <w:r w:rsidR="002A1405">
        <w:rPr>
          <w:lang w:val="en-GB"/>
        </w:rPr>
        <w:t>.</w:t>
      </w:r>
    </w:p>
    <w:p w14:paraId="7B32B59F" w14:textId="4D50A638" w:rsidR="00E20DD2" w:rsidRDefault="00E20DD2" w:rsidP="00E20DD2">
      <w:pPr>
        <w:pStyle w:val="RAN4observation0"/>
      </w:pPr>
      <w:r>
        <w:t>If the unavailability of the SMTC is defined based on the SSB candidate position index, there will be no room for uncertainty due to LBT failure. Additionally, UEs might wrongly classify that the SMTC is unavailable, despite the fact that SSBs are sent in different candidate positions, leading to</w:t>
      </w:r>
      <w:r w:rsidR="00563E8A">
        <w:t xml:space="preserve"> </w:t>
      </w:r>
      <w:r>
        <w:t xml:space="preserve">constantly restarting the measurements, </w:t>
      </w:r>
      <w:r w:rsidR="002A1405">
        <w:t>when</w:t>
      </w:r>
      <w:r>
        <w:t xml:space="preserve"> the maximum number of DL LBT failures is reached</w:t>
      </w:r>
      <w:r w:rsidR="00563E8A">
        <w:t>,</w:t>
      </w:r>
      <w:r>
        <w:t xml:space="preserve"> and ultimately delaying all procedures that depend on these measurement reports.</w:t>
      </w:r>
    </w:p>
    <w:p w14:paraId="2A059C4B" w14:textId="3F2D2DC6" w:rsidR="00571CF8" w:rsidRDefault="00571CF8" w:rsidP="00571CF8">
      <w:pPr>
        <w:rPr>
          <w:lang w:val="en-GB"/>
        </w:rPr>
      </w:pPr>
      <w:r>
        <w:rPr>
          <w:lang w:val="en-GB"/>
        </w:rPr>
        <w:t>In DOCUMENT QUALCOMM it is also suggested that the UE could have two operation modes: “one in which it only monitors and measures the identified SSB index in the detected position, and another in which it monitors all candidate SSB position indices.”</w:t>
      </w:r>
    </w:p>
    <w:p w14:paraId="4341D4F4" w14:textId="29E43725" w:rsidR="00571CF8" w:rsidRDefault="00571CF8" w:rsidP="00571CF8">
      <w:pPr>
        <w:rPr>
          <w:lang w:val="en-GB"/>
        </w:rPr>
      </w:pPr>
      <w:r>
        <w:rPr>
          <w:lang w:val="en-GB"/>
        </w:rPr>
        <w:t xml:space="preserve">However, if that is the case, the </w:t>
      </w:r>
      <w:proofErr w:type="spellStart"/>
      <w:r>
        <w:rPr>
          <w:lang w:val="en-GB"/>
        </w:rPr>
        <w:t>gNB</w:t>
      </w:r>
      <w:proofErr w:type="spellEnd"/>
      <w:r>
        <w:rPr>
          <w:lang w:val="en-GB"/>
        </w:rPr>
        <w:t xml:space="preserve"> should be aware of whether UEs are actually monitoring other candidate positions, otherwise, there is no point of wasting resources to send signals that will not be monitored anyway. Currently, there are no UE capabilities being discussed in NR-U associated with the ability to monitor SSBs of same index in different candidate positions. </w:t>
      </w:r>
    </w:p>
    <w:p w14:paraId="155D9E08" w14:textId="09C313E0" w:rsidR="00134BF5" w:rsidRPr="00D1106E" w:rsidRDefault="00134BF5" w:rsidP="00134BF5">
      <w:pPr>
        <w:pStyle w:val="RAN4observation0"/>
      </w:pPr>
      <w:r w:rsidRPr="00D1106E">
        <w:t xml:space="preserve">There is no UE capability being discussed in RAN1 related to the ability of monitoring different candidate positions. If in the minimum requirements we assume that the UEs are not monitoring all the candidate positions, there will be no guarantee to the </w:t>
      </w:r>
      <w:proofErr w:type="spellStart"/>
      <w:r w:rsidRPr="00D1106E">
        <w:t>gNB</w:t>
      </w:r>
      <w:proofErr w:type="spellEnd"/>
      <w:r w:rsidRPr="00D1106E">
        <w:t xml:space="preserve"> that SSBs sent in different candidate positions will at some point be monitored.</w:t>
      </w:r>
    </w:p>
    <w:p w14:paraId="07E32223" w14:textId="61E87C66" w:rsidR="00134BF5" w:rsidRDefault="00134BF5" w:rsidP="00571CF8">
      <w:pPr>
        <w:rPr>
          <w:lang w:val="en-GB"/>
        </w:rPr>
      </w:pPr>
      <w:r>
        <w:rPr>
          <w:lang w:val="en-GB"/>
        </w:rPr>
        <w:t>UE power saving will indeed be a problem in case the UEs are required to monitor all the time, all the candidate positions. Therefore, in the last meeting in</w:t>
      </w:r>
      <w:r w:rsidR="0076241F">
        <w:rPr>
          <w:lang w:val="en-GB"/>
        </w:rPr>
        <w:t xml:space="preserve"> </w:t>
      </w:r>
      <w:r w:rsidR="0076241F">
        <w:rPr>
          <w:lang w:val="en-GB"/>
        </w:rPr>
        <w:fldChar w:fldCharType="begin"/>
      </w:r>
      <w:r w:rsidR="0076241F">
        <w:rPr>
          <w:lang w:val="en-GB"/>
        </w:rPr>
        <w:instrText xml:space="preserve"> REF _Ref37335054 \r \h </w:instrText>
      </w:r>
      <w:r w:rsidR="0076241F">
        <w:rPr>
          <w:lang w:val="en-GB"/>
        </w:rPr>
      </w:r>
      <w:r w:rsidR="0076241F">
        <w:rPr>
          <w:lang w:val="en-GB"/>
        </w:rPr>
        <w:fldChar w:fldCharType="separate"/>
      </w:r>
      <w:r w:rsidR="0076241F">
        <w:rPr>
          <w:lang w:val="en-GB"/>
        </w:rPr>
        <w:t>[4]</w:t>
      </w:r>
      <w:r w:rsidR="0076241F">
        <w:rPr>
          <w:lang w:val="en-GB"/>
        </w:rPr>
        <w:fldChar w:fldCharType="end"/>
      </w:r>
      <w:r>
        <w:rPr>
          <w:lang w:val="en-GB"/>
        </w:rPr>
        <w:t>, it was proposed</w:t>
      </w:r>
      <w:r w:rsidR="00A40EC2">
        <w:rPr>
          <w:lang w:val="en-GB"/>
        </w:rPr>
        <w:t xml:space="preserve"> that UEs would be required to monitor until detecting that SSBs were sent in a given DRS Transmission window. However, it was also discussed</w:t>
      </w:r>
      <w:r w:rsidR="00D1106E">
        <w:rPr>
          <w:lang w:val="en-GB"/>
        </w:rPr>
        <w:t xml:space="preserve"> in</w:t>
      </w:r>
      <w:r w:rsidR="00A40EC2">
        <w:rPr>
          <w:lang w:val="en-GB"/>
        </w:rPr>
        <w:t xml:space="preserve"> </w:t>
      </w:r>
      <w:r w:rsidR="00D1106E">
        <w:rPr>
          <w:lang w:val="en-GB"/>
        </w:rPr>
        <w:fldChar w:fldCharType="begin"/>
      </w:r>
      <w:r w:rsidR="00D1106E">
        <w:rPr>
          <w:lang w:val="en-GB"/>
        </w:rPr>
        <w:instrText xml:space="preserve"> REF _Ref37332014 \r \h </w:instrText>
      </w:r>
      <w:r w:rsidR="00D1106E">
        <w:rPr>
          <w:lang w:val="en-GB"/>
        </w:rPr>
      </w:r>
      <w:r w:rsidR="00D1106E">
        <w:rPr>
          <w:lang w:val="en-GB"/>
        </w:rPr>
        <w:fldChar w:fldCharType="separate"/>
      </w:r>
      <w:r w:rsidR="00D1106E">
        <w:rPr>
          <w:lang w:val="en-GB"/>
        </w:rPr>
        <w:t>[5]</w:t>
      </w:r>
      <w:r w:rsidR="00D1106E">
        <w:rPr>
          <w:lang w:val="en-GB"/>
        </w:rPr>
        <w:fldChar w:fldCharType="end"/>
      </w:r>
      <w:r w:rsidR="00A40EC2">
        <w:rPr>
          <w:lang w:val="en-GB"/>
        </w:rPr>
        <w:t xml:space="preserve"> that the UEs cannot determine on the fly if the SSBs are available within the SMTC or not. </w:t>
      </w:r>
    </w:p>
    <w:p w14:paraId="384B2A6C" w14:textId="579A71DA" w:rsidR="00A40EC2" w:rsidRDefault="00A40EC2" w:rsidP="00A40EC2">
      <w:pPr>
        <w:pStyle w:val="RAN4observation0"/>
      </w:pPr>
      <w:r>
        <w:t>If UEs are required to monitor all candidate positions</w:t>
      </w:r>
      <w:r w:rsidR="00033D4E">
        <w:t xml:space="preserve"> all the time</w:t>
      </w:r>
      <w:r>
        <w:t xml:space="preserve">, power consumption in NR-U will be indeed higher than in NR. </w:t>
      </w:r>
    </w:p>
    <w:p w14:paraId="001C9CB2" w14:textId="233DF776" w:rsidR="00A40EC2" w:rsidRDefault="00A40EC2" w:rsidP="00A40EC2">
      <w:pPr>
        <w:rPr>
          <w:lang w:val="en-GB"/>
        </w:rPr>
      </w:pPr>
      <w:r>
        <w:rPr>
          <w:lang w:val="en-GB"/>
        </w:rPr>
        <w:t xml:space="preserve">Therefore, in order to compromise between the different approaches: defining the unavailability of the SMTC by the SSB index being unavailable at the detected SSB position index, or requiring that the UE monitors all the candidate positions during the </w:t>
      </w:r>
      <w:r w:rsidR="00EC4EF4">
        <w:rPr>
          <w:lang w:val="en-GB"/>
        </w:rPr>
        <w:t>intra or inter-frequency measurements</w:t>
      </w:r>
      <w:r>
        <w:rPr>
          <w:lang w:val="en-GB"/>
        </w:rPr>
        <w:t xml:space="preserve">, we propose the following: </w:t>
      </w:r>
    </w:p>
    <w:p w14:paraId="198C6920" w14:textId="4F93F7E2" w:rsidR="00EC4EF4" w:rsidRDefault="00033D4E" w:rsidP="00EC4EF4">
      <w:pPr>
        <w:pStyle w:val="RAN4proposal"/>
      </w:pPr>
      <w:r>
        <w:t>During intra or inter-frequency NR-U measurements,</w:t>
      </w:r>
      <w:r w:rsidR="00EC4EF4">
        <w:t xml:space="preserve"> </w:t>
      </w:r>
      <w:r w:rsidR="00EC4EF4" w:rsidRPr="00EC4EF4">
        <w:t>UE considers a SMTC occasion unavailable if the SSB index of the identified cell at the detected SSB position index is not available.</w:t>
      </w:r>
      <w:r w:rsidR="00EC4EF4">
        <w:t xml:space="preserve"> By </w:t>
      </w:r>
      <w:r w:rsidR="00C66BDB">
        <w:t>detecting</w:t>
      </w:r>
      <w:r w:rsidR="00EC4EF4">
        <w:t xml:space="preserve"> that 1 SMTC occasion is unavailable, UE is required to monitor all candidate positions in the subsequent </w:t>
      </w:r>
      <w:r w:rsidR="00EA63D8">
        <w:t xml:space="preserve">[N] </w:t>
      </w:r>
      <w:r w:rsidR="00EC4EF4">
        <w:t>SMTC.</w:t>
      </w:r>
    </w:p>
    <w:p w14:paraId="6094BF79" w14:textId="24D73A60" w:rsidR="00EC4EF4" w:rsidRPr="00EC4EF4" w:rsidRDefault="00EC4EF4" w:rsidP="00EC4EF4">
      <w:r>
        <w:t>This way, the UE has flexibility in their implementation. However, as soon as it does not detect the SSB index at the detected SSB candidate position index, it is required to monitor all candidate positions in the subsequent SMTC. This provides assurance to the network that SSBs sent in later candidate positions will be actively monitored by UEs.</w:t>
      </w:r>
    </w:p>
    <w:p w14:paraId="7FFB927B" w14:textId="01C1143C" w:rsidR="00EC4EF4" w:rsidRPr="00195783" w:rsidRDefault="00EC4EF4" w:rsidP="00EC4EF4">
      <w:r w:rsidRPr="00195783">
        <w:t xml:space="preserve">During cell detection measurements, the UE has not yet detected the cells. It cannot decide after one SMTC if the SSB has been transmitted or not. Therefore, the UE would have to search also the other candidate positions. </w:t>
      </w:r>
    </w:p>
    <w:p w14:paraId="1D38A2EA" w14:textId="77777777" w:rsidR="00EC4EF4" w:rsidRPr="00195783" w:rsidRDefault="00EC4EF4" w:rsidP="00EC4EF4">
      <w:pPr>
        <w:pStyle w:val="RAN4proposal"/>
      </w:pPr>
      <w:r w:rsidRPr="00195783">
        <w:lastRenderedPageBreak/>
        <w:t>For cell identification, UE is required to search all candidate positions.</w:t>
      </w:r>
    </w:p>
    <w:p w14:paraId="46258CCA" w14:textId="2125A93A" w:rsidR="00A40EC2" w:rsidRPr="00EC4EF4" w:rsidRDefault="00A40EC2" w:rsidP="00A40EC2"/>
    <w:p w14:paraId="5A3FD9CD" w14:textId="77777777" w:rsidR="000F6E70" w:rsidRDefault="000F6E70" w:rsidP="00033D4E">
      <w:pPr>
        <w:pStyle w:val="RAN4H1"/>
        <w:numPr>
          <w:ilvl w:val="0"/>
          <w:numId w:val="9"/>
        </w:numPr>
      </w:pPr>
      <w:r w:rsidRPr="00A37002">
        <w:t>Conclusion</w:t>
      </w:r>
    </w:p>
    <w:p w14:paraId="37B9B927" w14:textId="77777777" w:rsidR="00195783" w:rsidRDefault="00EC4EF4" w:rsidP="00033D4E">
      <w:pPr>
        <w:pStyle w:val="RAN4Observation"/>
        <w:numPr>
          <w:ilvl w:val="0"/>
          <w:numId w:val="10"/>
        </w:numPr>
      </w:pPr>
      <w:r>
        <w:t xml:space="preserve"> </w:t>
      </w:r>
      <w:r w:rsidR="00195783">
        <w:t>RAN1 has introduced a feature in NR-U to allow for multiple opportunities for sending the SSBs during a DRS transmission window. The purpose of this feature is to minimize the effects of LBT failures for sending SSBs, allowing for some flexibility for sending DRS.</w:t>
      </w:r>
    </w:p>
    <w:p w14:paraId="59BA82C4" w14:textId="77777777" w:rsidR="00033D4E" w:rsidRDefault="00195783" w:rsidP="00033D4E">
      <w:pPr>
        <w:pStyle w:val="RAN4Observation"/>
        <w:numPr>
          <w:ilvl w:val="0"/>
          <w:numId w:val="10"/>
        </w:numPr>
      </w:pPr>
      <w:r>
        <w:t xml:space="preserve">In LTE-LAA, a DMTC window was introduced to allow for the uncertainty when sending the discovery reference signals (DRS). In NR, the measurement requirements are already defined in terms of a SMTC, and the mechanism introduced by RAN1 in NR-U is to allow for an uncertainty in the exact position that SSBs are sent, in a similar manner to </w:t>
      </w:r>
      <w:r w:rsidR="00033D4E">
        <w:t xml:space="preserve">what was done for LTE-LAA. </w:t>
      </w:r>
    </w:p>
    <w:p w14:paraId="46FF57D8" w14:textId="6057BCB1" w:rsidR="00195783" w:rsidRDefault="00195783" w:rsidP="00195783">
      <w:pPr>
        <w:pStyle w:val="RAN4observation0"/>
      </w:pPr>
      <w:r>
        <w:t xml:space="preserve">The duration of the DRS transmission window is configurable by the </w:t>
      </w:r>
      <w:proofErr w:type="spellStart"/>
      <w:r>
        <w:t>gNB</w:t>
      </w:r>
      <w:proofErr w:type="spellEnd"/>
      <w:r>
        <w:t xml:space="preserve">, from 0.5 to 5 </w:t>
      </w:r>
      <w:proofErr w:type="spellStart"/>
      <w:r>
        <w:t>ms</w:t>
      </w:r>
      <w:proofErr w:type="spellEnd"/>
      <w:r>
        <w:t>.</w:t>
      </w:r>
    </w:p>
    <w:p w14:paraId="4CD9CC44" w14:textId="77777777" w:rsidR="00195783" w:rsidRDefault="00195783" w:rsidP="00195783">
      <w:pPr>
        <w:pStyle w:val="RAN4observation0"/>
      </w:pPr>
      <w:r>
        <w:t xml:space="preserve">To keep a long DRS transmission window when it is not necessary to do so, i.e. in low interference conditions, is inefficient for the </w:t>
      </w:r>
      <w:proofErr w:type="spellStart"/>
      <w:r>
        <w:t>gNB</w:t>
      </w:r>
      <w:proofErr w:type="spellEnd"/>
      <w:r>
        <w:t xml:space="preserve">. In low interference conditions, the DRS transmission window will be shorter, so that the </w:t>
      </w:r>
      <w:proofErr w:type="spellStart"/>
      <w:r>
        <w:t>gNB</w:t>
      </w:r>
      <w:proofErr w:type="spellEnd"/>
      <w:r>
        <w:t xml:space="preserve"> can allocate the resources in a more efficient manner.</w:t>
      </w:r>
    </w:p>
    <w:p w14:paraId="5A7E1B87" w14:textId="77777777" w:rsidR="00195783" w:rsidRPr="000439E0" w:rsidRDefault="00195783" w:rsidP="00195783">
      <w:pPr>
        <w:pStyle w:val="RAN4observation0"/>
      </w:pPr>
      <w:r>
        <w:t>In high interference conditions, the DRS transmission window might be longer, but that is precisely the scenario for which the RAN1 enhancement was introduced.</w:t>
      </w:r>
    </w:p>
    <w:p w14:paraId="6D231814" w14:textId="77777777" w:rsidR="00033D4E" w:rsidRDefault="00033D4E" w:rsidP="00033D4E">
      <w:pPr>
        <w:pStyle w:val="RAN4observation0"/>
      </w:pPr>
      <w:r>
        <w:t>According to RAN1 agreement in RAN1 #99, from a UEs perspective, the number of transmitted SSBs within a DRS transmission window is not larger than Q. So, monitoring different candidate positions does not mean that the UE will be required to measure more SSBs than in Rel-15 NR.</w:t>
      </w:r>
    </w:p>
    <w:p w14:paraId="513C4645" w14:textId="77777777" w:rsidR="00033D4E" w:rsidRDefault="00033D4E" w:rsidP="00033D4E">
      <w:pPr>
        <w:pStyle w:val="RAN4observation0"/>
      </w:pPr>
      <w:r>
        <w:t>If the unavailability of the SMTC is defined based on the SSB candidate position index, there will be no room for uncertainty due to LBT failure. Additionally, UEs might wrongly classify that the SMTC is unavailable, despite the fact that SSBs are sent in different candidate positions, leading to constantly restarting the measurements, when the maximum number of DL LBT failures is reached, and ultimately delaying all procedures that depend on these measurement reports.</w:t>
      </w:r>
    </w:p>
    <w:p w14:paraId="6857DDF3" w14:textId="5916742A" w:rsidR="00033D4E" w:rsidRDefault="00033D4E" w:rsidP="00033D4E">
      <w:pPr>
        <w:pStyle w:val="RAN4observation0"/>
      </w:pPr>
      <w:r w:rsidRPr="00D1106E">
        <w:t xml:space="preserve">There is no UE capability being discussed in RAN1 related to the ability of monitoring different candidate positions. If in the minimum requirements we assume that the UEs are not monitoring all the candidate positions, there will be no guarantee to the </w:t>
      </w:r>
      <w:proofErr w:type="spellStart"/>
      <w:r w:rsidRPr="00D1106E">
        <w:t>gNB</w:t>
      </w:r>
      <w:proofErr w:type="spellEnd"/>
      <w:r w:rsidRPr="00D1106E">
        <w:t xml:space="preserve"> that SSBs sent in different candidate positions will at some point be monitored.</w:t>
      </w:r>
    </w:p>
    <w:p w14:paraId="5CC1FEFE" w14:textId="3E27DD3B" w:rsidR="00033D4E" w:rsidRDefault="00033D4E" w:rsidP="00033D4E">
      <w:pPr>
        <w:pStyle w:val="RAN4observation0"/>
      </w:pPr>
      <w:r>
        <w:t xml:space="preserve">If UEs are required to monitor all candidate positions all the time, power consumption in NR-U will be indeed higher than in NR. </w:t>
      </w:r>
    </w:p>
    <w:p w14:paraId="564E0061" w14:textId="7319FC8E" w:rsidR="00033D4E" w:rsidRDefault="00033D4E" w:rsidP="00033D4E">
      <w:pPr>
        <w:pStyle w:val="RAN4proposal"/>
        <w:numPr>
          <w:ilvl w:val="0"/>
          <w:numId w:val="11"/>
        </w:numPr>
      </w:pPr>
      <w:r>
        <w:t xml:space="preserve">During intra or inter-frequency NR-U measurements, </w:t>
      </w:r>
      <w:r w:rsidRPr="00EC4EF4">
        <w:t>UE considers a SMTC occasion unavailable if the SSB index of the identified cell at the detected SSB position index is not available.</w:t>
      </w:r>
      <w:r>
        <w:t xml:space="preserve"> By detecting that 1 SMTC occasion is unavailable, UE is required to monitor all candidate positions in the subsequent </w:t>
      </w:r>
      <w:r w:rsidR="00A65893">
        <w:t xml:space="preserve">[N] </w:t>
      </w:r>
      <w:r>
        <w:t>SMTC.</w:t>
      </w:r>
    </w:p>
    <w:p w14:paraId="35534375" w14:textId="77777777" w:rsidR="00033D4E" w:rsidRPr="00195783" w:rsidRDefault="00033D4E" w:rsidP="00033D4E">
      <w:pPr>
        <w:pStyle w:val="RAN4proposal"/>
        <w:numPr>
          <w:ilvl w:val="0"/>
          <w:numId w:val="11"/>
        </w:numPr>
      </w:pPr>
      <w:r w:rsidRPr="00195783">
        <w:t>For cell identification, UE is required to search all candidate positions.</w:t>
      </w:r>
    </w:p>
    <w:p w14:paraId="5E937612" w14:textId="58FF6EA8" w:rsidR="000F6E70" w:rsidRPr="00195783" w:rsidRDefault="000F6E70" w:rsidP="000F6E70">
      <w:pPr>
        <w:jc w:val="both"/>
        <w:rPr>
          <w:lang w:val="en-GB"/>
        </w:rPr>
      </w:pPr>
    </w:p>
    <w:p w14:paraId="0E87B0FA" w14:textId="0E6E51C2" w:rsidR="003B659E" w:rsidRPr="0095295C" w:rsidRDefault="003B659E" w:rsidP="0008612A">
      <w:pPr>
        <w:pStyle w:val="RAN4H1"/>
      </w:pPr>
      <w:r w:rsidRPr="0095295C">
        <w:t>References</w:t>
      </w:r>
    </w:p>
    <w:p w14:paraId="6ABD0408" w14:textId="77777777" w:rsidR="00715CB6" w:rsidRPr="006677D1" w:rsidRDefault="004E44ED" w:rsidP="00202C34">
      <w:pPr>
        <w:numPr>
          <w:ilvl w:val="0"/>
          <w:numId w:val="1"/>
        </w:numPr>
        <w:overflowPunct w:val="0"/>
        <w:autoSpaceDE w:val="0"/>
        <w:autoSpaceDN w:val="0"/>
        <w:adjustRightInd w:val="0"/>
        <w:spacing w:after="120" w:line="240" w:lineRule="auto"/>
        <w:jc w:val="both"/>
        <w:textAlignment w:val="baseline"/>
      </w:pPr>
      <w:bookmarkStart w:id="5" w:name="_Ref20931039"/>
      <w:bookmarkStart w:id="6" w:name="_Ref27040464"/>
      <w:r>
        <w:rPr>
          <w:lang w:val="en-GB"/>
        </w:rPr>
        <w:t>R4-</w:t>
      </w:r>
      <w:bookmarkEnd w:id="5"/>
      <w:r w:rsidR="00202C34">
        <w:rPr>
          <w:lang w:val="en-GB"/>
        </w:rPr>
        <w:t>1915777. “WF on NR-U RRM Requirements (all agreements in RAN4#93)”, Ericsson, Qualcomm Inc.</w:t>
      </w:r>
      <w:bookmarkEnd w:id="6"/>
    </w:p>
    <w:p w14:paraId="6BC3A1CF" w14:textId="4B236F38" w:rsidR="00255666" w:rsidRDefault="00715CB6" w:rsidP="00202C34">
      <w:pPr>
        <w:numPr>
          <w:ilvl w:val="0"/>
          <w:numId w:val="1"/>
        </w:numPr>
        <w:overflowPunct w:val="0"/>
        <w:autoSpaceDE w:val="0"/>
        <w:autoSpaceDN w:val="0"/>
        <w:adjustRightInd w:val="0"/>
        <w:spacing w:after="120" w:line="240" w:lineRule="auto"/>
        <w:jc w:val="both"/>
        <w:textAlignment w:val="baseline"/>
      </w:pPr>
      <w:r w:rsidRPr="006677D1">
        <w:rPr>
          <w:lang w:val="en-GB"/>
        </w:rPr>
        <w:t>R4-1914876</w:t>
      </w:r>
      <w:r w:rsidRPr="00360BDD">
        <w:t xml:space="preserve"> </w:t>
      </w:r>
      <w:r>
        <w:t xml:space="preserve">,"Discussion on measurement requirements in NR-U”, Huawei, </w:t>
      </w:r>
      <w:proofErr w:type="spellStart"/>
      <w:r>
        <w:t>HiSilicon</w:t>
      </w:r>
      <w:proofErr w:type="spellEnd"/>
    </w:p>
    <w:p w14:paraId="296E9C46" w14:textId="66E15F44" w:rsidR="00255666" w:rsidRDefault="00255666" w:rsidP="00202C34">
      <w:pPr>
        <w:numPr>
          <w:ilvl w:val="0"/>
          <w:numId w:val="1"/>
        </w:numPr>
        <w:overflowPunct w:val="0"/>
        <w:autoSpaceDE w:val="0"/>
        <w:autoSpaceDN w:val="0"/>
        <w:adjustRightInd w:val="0"/>
        <w:spacing w:after="120" w:line="240" w:lineRule="auto"/>
        <w:jc w:val="both"/>
        <w:textAlignment w:val="baseline"/>
      </w:pPr>
      <w:bookmarkStart w:id="7" w:name="_Ref37334422"/>
      <w:r w:rsidRPr="00255666">
        <w:t>R4-2000718</w:t>
      </w:r>
      <w:r>
        <w:t>, “</w:t>
      </w:r>
      <w:r w:rsidRPr="00255666">
        <w:t>Remaining issues on measurement requirements in NR-U</w:t>
      </w:r>
      <w:r>
        <w:t>”, Qualcomm Inc.</w:t>
      </w:r>
      <w:bookmarkEnd w:id="7"/>
    </w:p>
    <w:p w14:paraId="6F109C00" w14:textId="13FCCC19" w:rsidR="00255666" w:rsidRDefault="00255666" w:rsidP="00202C34">
      <w:pPr>
        <w:numPr>
          <w:ilvl w:val="0"/>
          <w:numId w:val="1"/>
        </w:numPr>
        <w:overflowPunct w:val="0"/>
        <w:autoSpaceDE w:val="0"/>
        <w:autoSpaceDN w:val="0"/>
        <w:adjustRightInd w:val="0"/>
        <w:spacing w:after="120" w:line="240" w:lineRule="auto"/>
        <w:jc w:val="both"/>
        <w:textAlignment w:val="baseline"/>
      </w:pPr>
      <w:bookmarkStart w:id="8" w:name="_Ref37335054"/>
      <w:r>
        <w:t>R4-2001439, “On RLM requirements in NR-U”, Nokia, Nokia Shanghai Bell.</w:t>
      </w:r>
      <w:bookmarkEnd w:id="8"/>
    </w:p>
    <w:p w14:paraId="69DAAD36" w14:textId="77777777" w:rsidR="0076241F" w:rsidRDefault="0076241F" w:rsidP="0076241F">
      <w:pPr>
        <w:numPr>
          <w:ilvl w:val="0"/>
          <w:numId w:val="1"/>
        </w:numPr>
        <w:overflowPunct w:val="0"/>
        <w:autoSpaceDE w:val="0"/>
        <w:autoSpaceDN w:val="0"/>
        <w:adjustRightInd w:val="0"/>
        <w:spacing w:after="120" w:line="240" w:lineRule="auto"/>
        <w:jc w:val="both"/>
        <w:textAlignment w:val="baseline"/>
        <w:rPr>
          <w:lang w:val="en-GB"/>
        </w:rPr>
      </w:pPr>
      <w:bookmarkStart w:id="9" w:name="_Ref37332014"/>
      <w:r>
        <w:rPr>
          <w:lang w:val="en-GB"/>
        </w:rPr>
        <w:t>R4-2002301, “</w:t>
      </w:r>
      <w:r w:rsidRPr="00590618">
        <w:rPr>
          <w:rFonts w:hint="eastAsia"/>
          <w:lang w:val="en-GB"/>
        </w:rPr>
        <w:t xml:space="preserve">Email discussion summary for </w:t>
      </w:r>
      <w:r w:rsidRPr="00590618">
        <w:rPr>
          <w:lang w:val="en-GB"/>
        </w:rPr>
        <w:t>RAN4#94e_#47_NR_unlic_RRM_Core_Part_2”</w:t>
      </w:r>
      <w:bookmarkEnd w:id="9"/>
    </w:p>
    <w:p w14:paraId="72BCD2FC" w14:textId="55DA3388" w:rsidR="00522F06" w:rsidRPr="00606980" w:rsidRDefault="00522F06" w:rsidP="00606980">
      <w:pPr>
        <w:overflowPunct w:val="0"/>
        <w:autoSpaceDE w:val="0"/>
        <w:autoSpaceDN w:val="0"/>
        <w:adjustRightInd w:val="0"/>
        <w:spacing w:after="120" w:line="240" w:lineRule="auto"/>
        <w:jc w:val="both"/>
        <w:textAlignment w:val="baseline"/>
        <w:rPr>
          <w:lang w:val="en-GB"/>
        </w:rPr>
      </w:pPr>
    </w:p>
    <w:sectPr w:rsidR="00522F06" w:rsidRPr="0060698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314E6" w14:textId="77777777" w:rsidR="002C127E" w:rsidRDefault="002C127E" w:rsidP="00001C9B">
      <w:pPr>
        <w:spacing w:after="0" w:line="240" w:lineRule="auto"/>
      </w:pPr>
      <w:r>
        <w:separator/>
      </w:r>
    </w:p>
  </w:endnote>
  <w:endnote w:type="continuationSeparator" w:id="0">
    <w:p w14:paraId="70C0481D" w14:textId="77777777" w:rsidR="002C127E" w:rsidRDefault="002C127E" w:rsidP="00001C9B">
      <w:pPr>
        <w:spacing w:after="0" w:line="240" w:lineRule="auto"/>
      </w:pPr>
      <w:r>
        <w:continuationSeparator/>
      </w:r>
    </w:p>
  </w:endnote>
  <w:endnote w:type="continuationNotice" w:id="1">
    <w:p w14:paraId="3525A12C" w14:textId="77777777" w:rsidR="002C127E" w:rsidRDefault="002C12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FD27D" w14:textId="77777777" w:rsidR="002C127E" w:rsidRDefault="002C127E" w:rsidP="00001C9B">
      <w:pPr>
        <w:spacing w:after="0" w:line="240" w:lineRule="auto"/>
      </w:pPr>
      <w:r>
        <w:separator/>
      </w:r>
    </w:p>
  </w:footnote>
  <w:footnote w:type="continuationSeparator" w:id="0">
    <w:p w14:paraId="56B7551A" w14:textId="77777777" w:rsidR="002C127E" w:rsidRDefault="002C127E" w:rsidP="00001C9B">
      <w:pPr>
        <w:spacing w:after="0" w:line="240" w:lineRule="auto"/>
      </w:pPr>
      <w:r>
        <w:continuationSeparator/>
      </w:r>
    </w:p>
  </w:footnote>
  <w:footnote w:type="continuationNotice" w:id="1">
    <w:p w14:paraId="4AC35974" w14:textId="77777777" w:rsidR="002C127E" w:rsidRDefault="002C12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F47442"/>
    <w:multiLevelType w:val="hybridMultilevel"/>
    <w:tmpl w:val="5574C9B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3CB10166"/>
    <w:multiLevelType w:val="multilevel"/>
    <w:tmpl w:val="9C725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6B43B9D"/>
    <w:multiLevelType w:val="hybridMultilevel"/>
    <w:tmpl w:val="C4C09FC2"/>
    <w:lvl w:ilvl="0" w:tplc="666A7FC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4" w15:restartNumberingAfterBreak="0">
    <w:nsid w:val="4D6E3167"/>
    <w:multiLevelType w:val="hybridMultilevel"/>
    <w:tmpl w:val="67161EF0"/>
    <w:lvl w:ilvl="0" w:tplc="3F0AD474">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65C217B"/>
    <w:multiLevelType w:val="multilevel"/>
    <w:tmpl w:val="CBC62AB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8"/>
  </w:num>
  <w:num w:numId="6">
    <w:abstractNumId w:val="6"/>
  </w:num>
  <w:num w:numId="7">
    <w:abstractNumId w:val="2"/>
  </w:num>
  <w:num w:numId="8">
    <w:abstractNumId w:val="1"/>
  </w:num>
  <w:num w:numId="9">
    <w:abstractNumId w:val="7"/>
  </w:num>
  <w:num w:numId="10">
    <w:abstractNumId w:val="3"/>
    <w:lvlOverride w:ilvl="0">
      <w:startOverride w:val="1"/>
    </w:lvlOverride>
  </w:num>
  <w:num w:numId="11">
    <w:abstractNumId w:val="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116DD"/>
    <w:rsid w:val="00014861"/>
    <w:rsid w:val="00017E8B"/>
    <w:rsid w:val="00033D4E"/>
    <w:rsid w:val="000355AE"/>
    <w:rsid w:val="00035E84"/>
    <w:rsid w:val="00043285"/>
    <w:rsid w:val="000439E0"/>
    <w:rsid w:val="000476B6"/>
    <w:rsid w:val="00051F48"/>
    <w:rsid w:val="0005269E"/>
    <w:rsid w:val="000574D6"/>
    <w:rsid w:val="000604DA"/>
    <w:rsid w:val="00062F6B"/>
    <w:rsid w:val="0006590F"/>
    <w:rsid w:val="00073236"/>
    <w:rsid w:val="0007385D"/>
    <w:rsid w:val="00074B20"/>
    <w:rsid w:val="0007547A"/>
    <w:rsid w:val="00080395"/>
    <w:rsid w:val="0008612A"/>
    <w:rsid w:val="00086C77"/>
    <w:rsid w:val="00092144"/>
    <w:rsid w:val="000926E7"/>
    <w:rsid w:val="000A20DE"/>
    <w:rsid w:val="000A5622"/>
    <w:rsid w:val="000A5729"/>
    <w:rsid w:val="000B0056"/>
    <w:rsid w:val="000B0A49"/>
    <w:rsid w:val="000C56C0"/>
    <w:rsid w:val="000D2D87"/>
    <w:rsid w:val="000D5C4C"/>
    <w:rsid w:val="000E23A6"/>
    <w:rsid w:val="000E2403"/>
    <w:rsid w:val="000E5003"/>
    <w:rsid w:val="000F01D4"/>
    <w:rsid w:val="000F09AB"/>
    <w:rsid w:val="000F2A39"/>
    <w:rsid w:val="000F4C1A"/>
    <w:rsid w:val="000F6E70"/>
    <w:rsid w:val="000F7435"/>
    <w:rsid w:val="00102AA6"/>
    <w:rsid w:val="001057E8"/>
    <w:rsid w:val="001108FE"/>
    <w:rsid w:val="001109F8"/>
    <w:rsid w:val="001149DB"/>
    <w:rsid w:val="00117796"/>
    <w:rsid w:val="001209AC"/>
    <w:rsid w:val="0012444B"/>
    <w:rsid w:val="00124459"/>
    <w:rsid w:val="00126279"/>
    <w:rsid w:val="00130290"/>
    <w:rsid w:val="00130600"/>
    <w:rsid w:val="00134BF5"/>
    <w:rsid w:val="0013750D"/>
    <w:rsid w:val="00140330"/>
    <w:rsid w:val="00142412"/>
    <w:rsid w:val="00143D72"/>
    <w:rsid w:val="00143E75"/>
    <w:rsid w:val="001444B5"/>
    <w:rsid w:val="00151A8D"/>
    <w:rsid w:val="0015200C"/>
    <w:rsid w:val="0015341D"/>
    <w:rsid w:val="00161AC3"/>
    <w:rsid w:val="001622C4"/>
    <w:rsid w:val="00162FA0"/>
    <w:rsid w:val="00165EE7"/>
    <w:rsid w:val="001679DE"/>
    <w:rsid w:val="001745F8"/>
    <w:rsid w:val="00174AD3"/>
    <w:rsid w:val="0017501D"/>
    <w:rsid w:val="001802FD"/>
    <w:rsid w:val="001838CF"/>
    <w:rsid w:val="0019220B"/>
    <w:rsid w:val="00192A0F"/>
    <w:rsid w:val="00195783"/>
    <w:rsid w:val="001958A2"/>
    <w:rsid w:val="00195E2B"/>
    <w:rsid w:val="001961B9"/>
    <w:rsid w:val="001A5BCF"/>
    <w:rsid w:val="001A72C1"/>
    <w:rsid w:val="001B116F"/>
    <w:rsid w:val="001B2870"/>
    <w:rsid w:val="001B447A"/>
    <w:rsid w:val="001D54CB"/>
    <w:rsid w:val="001D6CBA"/>
    <w:rsid w:val="001E30F6"/>
    <w:rsid w:val="001E3EB3"/>
    <w:rsid w:val="001E659F"/>
    <w:rsid w:val="001E6EA2"/>
    <w:rsid w:val="001F364B"/>
    <w:rsid w:val="001F6216"/>
    <w:rsid w:val="001F6C25"/>
    <w:rsid w:val="00200081"/>
    <w:rsid w:val="00202988"/>
    <w:rsid w:val="00202C34"/>
    <w:rsid w:val="00202CDC"/>
    <w:rsid w:val="00203B92"/>
    <w:rsid w:val="0020521B"/>
    <w:rsid w:val="00206975"/>
    <w:rsid w:val="0021156E"/>
    <w:rsid w:val="002131AA"/>
    <w:rsid w:val="002149F0"/>
    <w:rsid w:val="00214E5E"/>
    <w:rsid w:val="002255AA"/>
    <w:rsid w:val="002267F3"/>
    <w:rsid w:val="002325A1"/>
    <w:rsid w:val="002353E5"/>
    <w:rsid w:val="00235F5C"/>
    <w:rsid w:val="00236D6F"/>
    <w:rsid w:val="00236D78"/>
    <w:rsid w:val="00237A2C"/>
    <w:rsid w:val="0024481F"/>
    <w:rsid w:val="00245F37"/>
    <w:rsid w:val="0024625B"/>
    <w:rsid w:val="00255666"/>
    <w:rsid w:val="00255E2C"/>
    <w:rsid w:val="002562FC"/>
    <w:rsid w:val="002650B5"/>
    <w:rsid w:val="00265102"/>
    <w:rsid w:val="00265843"/>
    <w:rsid w:val="00273443"/>
    <w:rsid w:val="00280503"/>
    <w:rsid w:val="00281F12"/>
    <w:rsid w:val="00282637"/>
    <w:rsid w:val="00284157"/>
    <w:rsid w:val="002853E1"/>
    <w:rsid w:val="002870BB"/>
    <w:rsid w:val="00287B2D"/>
    <w:rsid w:val="00294438"/>
    <w:rsid w:val="00295D0B"/>
    <w:rsid w:val="002A1405"/>
    <w:rsid w:val="002A384C"/>
    <w:rsid w:val="002A4B7B"/>
    <w:rsid w:val="002A6280"/>
    <w:rsid w:val="002B26BF"/>
    <w:rsid w:val="002B3044"/>
    <w:rsid w:val="002B4922"/>
    <w:rsid w:val="002B6964"/>
    <w:rsid w:val="002C127E"/>
    <w:rsid w:val="002C136A"/>
    <w:rsid w:val="002C23B6"/>
    <w:rsid w:val="002C2D19"/>
    <w:rsid w:val="002C4FA4"/>
    <w:rsid w:val="002C54F8"/>
    <w:rsid w:val="002D0A10"/>
    <w:rsid w:val="002D10FA"/>
    <w:rsid w:val="002D2A2F"/>
    <w:rsid w:val="002D44E3"/>
    <w:rsid w:val="002D4C55"/>
    <w:rsid w:val="002E01B2"/>
    <w:rsid w:val="002F1542"/>
    <w:rsid w:val="002F7A49"/>
    <w:rsid w:val="003052C9"/>
    <w:rsid w:val="003154E6"/>
    <w:rsid w:val="0032066B"/>
    <w:rsid w:val="00333C93"/>
    <w:rsid w:val="00334C4B"/>
    <w:rsid w:val="003365BF"/>
    <w:rsid w:val="00336CAE"/>
    <w:rsid w:val="00343C51"/>
    <w:rsid w:val="003441AA"/>
    <w:rsid w:val="0034546C"/>
    <w:rsid w:val="00351119"/>
    <w:rsid w:val="00360BDD"/>
    <w:rsid w:val="00362C68"/>
    <w:rsid w:val="00363644"/>
    <w:rsid w:val="003659D2"/>
    <w:rsid w:val="00366991"/>
    <w:rsid w:val="00376F54"/>
    <w:rsid w:val="003776D8"/>
    <w:rsid w:val="0038046E"/>
    <w:rsid w:val="00384776"/>
    <w:rsid w:val="00386F0A"/>
    <w:rsid w:val="00386F6B"/>
    <w:rsid w:val="00386FA7"/>
    <w:rsid w:val="00390247"/>
    <w:rsid w:val="00391337"/>
    <w:rsid w:val="00391A23"/>
    <w:rsid w:val="003A2CBA"/>
    <w:rsid w:val="003B03F3"/>
    <w:rsid w:val="003B1432"/>
    <w:rsid w:val="003B2E8E"/>
    <w:rsid w:val="003B659E"/>
    <w:rsid w:val="003B7ACC"/>
    <w:rsid w:val="003C174C"/>
    <w:rsid w:val="003C23D1"/>
    <w:rsid w:val="003C2C76"/>
    <w:rsid w:val="003C46D1"/>
    <w:rsid w:val="003C6693"/>
    <w:rsid w:val="003C6881"/>
    <w:rsid w:val="003D34E3"/>
    <w:rsid w:val="003D6875"/>
    <w:rsid w:val="003E0127"/>
    <w:rsid w:val="003E3825"/>
    <w:rsid w:val="003E508A"/>
    <w:rsid w:val="003E5526"/>
    <w:rsid w:val="003E5C9D"/>
    <w:rsid w:val="003F4960"/>
    <w:rsid w:val="003F5961"/>
    <w:rsid w:val="003F7E7B"/>
    <w:rsid w:val="004001CA"/>
    <w:rsid w:val="00404AE4"/>
    <w:rsid w:val="00413472"/>
    <w:rsid w:val="00423A76"/>
    <w:rsid w:val="0043238D"/>
    <w:rsid w:val="004367F1"/>
    <w:rsid w:val="0043750A"/>
    <w:rsid w:val="00444D2B"/>
    <w:rsid w:val="00447966"/>
    <w:rsid w:val="004573AB"/>
    <w:rsid w:val="00460827"/>
    <w:rsid w:val="00460A9F"/>
    <w:rsid w:val="0046167E"/>
    <w:rsid w:val="00463563"/>
    <w:rsid w:val="00473F14"/>
    <w:rsid w:val="00475300"/>
    <w:rsid w:val="004765AE"/>
    <w:rsid w:val="004826F3"/>
    <w:rsid w:val="0048457F"/>
    <w:rsid w:val="00485917"/>
    <w:rsid w:val="0048668D"/>
    <w:rsid w:val="00490412"/>
    <w:rsid w:val="00493619"/>
    <w:rsid w:val="00496B4A"/>
    <w:rsid w:val="0049704C"/>
    <w:rsid w:val="004A1821"/>
    <w:rsid w:val="004A1E51"/>
    <w:rsid w:val="004A3F24"/>
    <w:rsid w:val="004A40D6"/>
    <w:rsid w:val="004B3327"/>
    <w:rsid w:val="004B4607"/>
    <w:rsid w:val="004B4DEA"/>
    <w:rsid w:val="004B7E0A"/>
    <w:rsid w:val="004C1A5B"/>
    <w:rsid w:val="004C248A"/>
    <w:rsid w:val="004C2FE1"/>
    <w:rsid w:val="004D025F"/>
    <w:rsid w:val="004D1556"/>
    <w:rsid w:val="004D2FC5"/>
    <w:rsid w:val="004D3E07"/>
    <w:rsid w:val="004D55CE"/>
    <w:rsid w:val="004E20FA"/>
    <w:rsid w:val="004E44ED"/>
    <w:rsid w:val="004E555B"/>
    <w:rsid w:val="004E5E66"/>
    <w:rsid w:val="004F3B01"/>
    <w:rsid w:val="00503282"/>
    <w:rsid w:val="005032C3"/>
    <w:rsid w:val="00503B4D"/>
    <w:rsid w:val="00504EE9"/>
    <w:rsid w:val="00510FB5"/>
    <w:rsid w:val="00511D00"/>
    <w:rsid w:val="005150F7"/>
    <w:rsid w:val="00522F06"/>
    <w:rsid w:val="0053065D"/>
    <w:rsid w:val="005318D1"/>
    <w:rsid w:val="005343AA"/>
    <w:rsid w:val="005440B8"/>
    <w:rsid w:val="0054442C"/>
    <w:rsid w:val="005479EB"/>
    <w:rsid w:val="00550285"/>
    <w:rsid w:val="005505C2"/>
    <w:rsid w:val="00553848"/>
    <w:rsid w:val="00554227"/>
    <w:rsid w:val="00556D62"/>
    <w:rsid w:val="0056348E"/>
    <w:rsid w:val="00563E8A"/>
    <w:rsid w:val="00567303"/>
    <w:rsid w:val="00571CF8"/>
    <w:rsid w:val="005768F8"/>
    <w:rsid w:val="00581548"/>
    <w:rsid w:val="005817F7"/>
    <w:rsid w:val="005836F8"/>
    <w:rsid w:val="005847F4"/>
    <w:rsid w:val="00585575"/>
    <w:rsid w:val="00586299"/>
    <w:rsid w:val="00587208"/>
    <w:rsid w:val="00587948"/>
    <w:rsid w:val="0059230A"/>
    <w:rsid w:val="005937A3"/>
    <w:rsid w:val="005A01EA"/>
    <w:rsid w:val="005A138E"/>
    <w:rsid w:val="005A1915"/>
    <w:rsid w:val="005A1E00"/>
    <w:rsid w:val="005A2904"/>
    <w:rsid w:val="005A4058"/>
    <w:rsid w:val="005A4FE7"/>
    <w:rsid w:val="005A71E8"/>
    <w:rsid w:val="005B77E9"/>
    <w:rsid w:val="005C12DF"/>
    <w:rsid w:val="005C60C7"/>
    <w:rsid w:val="005D10B4"/>
    <w:rsid w:val="005D14CA"/>
    <w:rsid w:val="005D2622"/>
    <w:rsid w:val="005D3CA8"/>
    <w:rsid w:val="005D44A3"/>
    <w:rsid w:val="005D5522"/>
    <w:rsid w:val="005D659D"/>
    <w:rsid w:val="005E069A"/>
    <w:rsid w:val="005E1413"/>
    <w:rsid w:val="005E23C5"/>
    <w:rsid w:val="005E2752"/>
    <w:rsid w:val="005E3768"/>
    <w:rsid w:val="005E3838"/>
    <w:rsid w:val="005E5408"/>
    <w:rsid w:val="005E61A8"/>
    <w:rsid w:val="005E7767"/>
    <w:rsid w:val="005E7A8F"/>
    <w:rsid w:val="005F289B"/>
    <w:rsid w:val="005F2D31"/>
    <w:rsid w:val="005F2DE7"/>
    <w:rsid w:val="005F6419"/>
    <w:rsid w:val="00601C25"/>
    <w:rsid w:val="006023FC"/>
    <w:rsid w:val="00603F7B"/>
    <w:rsid w:val="00606980"/>
    <w:rsid w:val="0061145C"/>
    <w:rsid w:val="00617400"/>
    <w:rsid w:val="00617DA3"/>
    <w:rsid w:val="00625942"/>
    <w:rsid w:val="00632841"/>
    <w:rsid w:val="0063449F"/>
    <w:rsid w:val="00657320"/>
    <w:rsid w:val="00661412"/>
    <w:rsid w:val="006637DF"/>
    <w:rsid w:val="00664950"/>
    <w:rsid w:val="0066617A"/>
    <w:rsid w:val="006677D1"/>
    <w:rsid w:val="00683220"/>
    <w:rsid w:val="00683CB8"/>
    <w:rsid w:val="0068640E"/>
    <w:rsid w:val="00687FA0"/>
    <w:rsid w:val="00696989"/>
    <w:rsid w:val="006A7876"/>
    <w:rsid w:val="006A7D79"/>
    <w:rsid w:val="006B7010"/>
    <w:rsid w:val="006C0384"/>
    <w:rsid w:val="006C3421"/>
    <w:rsid w:val="006C3FC0"/>
    <w:rsid w:val="006C4790"/>
    <w:rsid w:val="006C4CD2"/>
    <w:rsid w:val="006C645C"/>
    <w:rsid w:val="006C7C97"/>
    <w:rsid w:val="006D241A"/>
    <w:rsid w:val="006D260F"/>
    <w:rsid w:val="006D6F35"/>
    <w:rsid w:val="006D70D8"/>
    <w:rsid w:val="006D7B45"/>
    <w:rsid w:val="006E3B4A"/>
    <w:rsid w:val="006E7AF0"/>
    <w:rsid w:val="006F61EC"/>
    <w:rsid w:val="00703052"/>
    <w:rsid w:val="007041B5"/>
    <w:rsid w:val="007047A4"/>
    <w:rsid w:val="0070502B"/>
    <w:rsid w:val="0070580A"/>
    <w:rsid w:val="00706198"/>
    <w:rsid w:val="0070720A"/>
    <w:rsid w:val="00707526"/>
    <w:rsid w:val="00707A94"/>
    <w:rsid w:val="00707D4C"/>
    <w:rsid w:val="007106BA"/>
    <w:rsid w:val="00711292"/>
    <w:rsid w:val="00714023"/>
    <w:rsid w:val="007145FF"/>
    <w:rsid w:val="00715818"/>
    <w:rsid w:val="00715CB6"/>
    <w:rsid w:val="0071616D"/>
    <w:rsid w:val="00716C73"/>
    <w:rsid w:val="0071784F"/>
    <w:rsid w:val="0072415A"/>
    <w:rsid w:val="007259BC"/>
    <w:rsid w:val="007311C9"/>
    <w:rsid w:val="00733746"/>
    <w:rsid w:val="0074048A"/>
    <w:rsid w:val="0074187C"/>
    <w:rsid w:val="007430CA"/>
    <w:rsid w:val="0074427A"/>
    <w:rsid w:val="00747E34"/>
    <w:rsid w:val="0075025E"/>
    <w:rsid w:val="00750A33"/>
    <w:rsid w:val="0075150C"/>
    <w:rsid w:val="00751515"/>
    <w:rsid w:val="007527C1"/>
    <w:rsid w:val="0075490C"/>
    <w:rsid w:val="007578E8"/>
    <w:rsid w:val="0076241F"/>
    <w:rsid w:val="0076280D"/>
    <w:rsid w:val="00762FFD"/>
    <w:rsid w:val="0078329A"/>
    <w:rsid w:val="00783B71"/>
    <w:rsid w:val="00784412"/>
    <w:rsid w:val="00785232"/>
    <w:rsid w:val="00793970"/>
    <w:rsid w:val="00796A12"/>
    <w:rsid w:val="00796E74"/>
    <w:rsid w:val="007A15EE"/>
    <w:rsid w:val="007A306D"/>
    <w:rsid w:val="007A5F1D"/>
    <w:rsid w:val="007A61B3"/>
    <w:rsid w:val="007B28BE"/>
    <w:rsid w:val="007B5C63"/>
    <w:rsid w:val="007B7396"/>
    <w:rsid w:val="007C1002"/>
    <w:rsid w:val="007C1DCC"/>
    <w:rsid w:val="007C3A0E"/>
    <w:rsid w:val="007C3ED0"/>
    <w:rsid w:val="007D0AD9"/>
    <w:rsid w:val="007D2289"/>
    <w:rsid w:val="007D3D33"/>
    <w:rsid w:val="007D76FC"/>
    <w:rsid w:val="007E406E"/>
    <w:rsid w:val="007E4A9F"/>
    <w:rsid w:val="00802873"/>
    <w:rsid w:val="008040B8"/>
    <w:rsid w:val="00805A83"/>
    <w:rsid w:val="00806A76"/>
    <w:rsid w:val="00811C9D"/>
    <w:rsid w:val="00814EF4"/>
    <w:rsid w:val="00816C80"/>
    <w:rsid w:val="0082015A"/>
    <w:rsid w:val="00823523"/>
    <w:rsid w:val="00825BAF"/>
    <w:rsid w:val="0082641B"/>
    <w:rsid w:val="008268D5"/>
    <w:rsid w:val="00826A94"/>
    <w:rsid w:val="008278B2"/>
    <w:rsid w:val="00831CEA"/>
    <w:rsid w:val="0083342A"/>
    <w:rsid w:val="00841BCD"/>
    <w:rsid w:val="0085201A"/>
    <w:rsid w:val="00857FC9"/>
    <w:rsid w:val="00862775"/>
    <w:rsid w:val="00864577"/>
    <w:rsid w:val="00864992"/>
    <w:rsid w:val="008658D5"/>
    <w:rsid w:val="00870CCB"/>
    <w:rsid w:val="00871019"/>
    <w:rsid w:val="0087233E"/>
    <w:rsid w:val="00881AE5"/>
    <w:rsid w:val="008826C1"/>
    <w:rsid w:val="00886AF2"/>
    <w:rsid w:val="00891635"/>
    <w:rsid w:val="0089227B"/>
    <w:rsid w:val="00894DBC"/>
    <w:rsid w:val="00894F68"/>
    <w:rsid w:val="008960FF"/>
    <w:rsid w:val="008977B9"/>
    <w:rsid w:val="008A42D0"/>
    <w:rsid w:val="008A4AC4"/>
    <w:rsid w:val="008A4C8B"/>
    <w:rsid w:val="008A635E"/>
    <w:rsid w:val="008A69EC"/>
    <w:rsid w:val="008A6D84"/>
    <w:rsid w:val="008B1670"/>
    <w:rsid w:val="008B2312"/>
    <w:rsid w:val="008B5B38"/>
    <w:rsid w:val="008B67BD"/>
    <w:rsid w:val="008C7475"/>
    <w:rsid w:val="008C7844"/>
    <w:rsid w:val="008D0338"/>
    <w:rsid w:val="008D5AF1"/>
    <w:rsid w:val="008E0A1C"/>
    <w:rsid w:val="008E31F8"/>
    <w:rsid w:val="008E67FB"/>
    <w:rsid w:val="008F5164"/>
    <w:rsid w:val="008F64E5"/>
    <w:rsid w:val="008F7B6B"/>
    <w:rsid w:val="00900C72"/>
    <w:rsid w:val="009042BD"/>
    <w:rsid w:val="0090747A"/>
    <w:rsid w:val="00910B17"/>
    <w:rsid w:val="00911E46"/>
    <w:rsid w:val="009141BA"/>
    <w:rsid w:val="00915C60"/>
    <w:rsid w:val="00923241"/>
    <w:rsid w:val="00925178"/>
    <w:rsid w:val="00926655"/>
    <w:rsid w:val="0093021E"/>
    <w:rsid w:val="009375F7"/>
    <w:rsid w:val="009427A9"/>
    <w:rsid w:val="00943983"/>
    <w:rsid w:val="009468AA"/>
    <w:rsid w:val="0095687B"/>
    <w:rsid w:val="00960417"/>
    <w:rsid w:val="00960F25"/>
    <w:rsid w:val="00961D90"/>
    <w:rsid w:val="0096398E"/>
    <w:rsid w:val="00963B53"/>
    <w:rsid w:val="00966E36"/>
    <w:rsid w:val="0097080A"/>
    <w:rsid w:val="00970CF3"/>
    <w:rsid w:val="00970D3C"/>
    <w:rsid w:val="00971A14"/>
    <w:rsid w:val="00975A16"/>
    <w:rsid w:val="00976113"/>
    <w:rsid w:val="00977E1D"/>
    <w:rsid w:val="00980373"/>
    <w:rsid w:val="00982A88"/>
    <w:rsid w:val="00985535"/>
    <w:rsid w:val="009919A3"/>
    <w:rsid w:val="00996A54"/>
    <w:rsid w:val="00997744"/>
    <w:rsid w:val="009A2D2B"/>
    <w:rsid w:val="009A4337"/>
    <w:rsid w:val="009A51CC"/>
    <w:rsid w:val="009A52DC"/>
    <w:rsid w:val="009B227B"/>
    <w:rsid w:val="009B602E"/>
    <w:rsid w:val="009B6C1A"/>
    <w:rsid w:val="009C787D"/>
    <w:rsid w:val="009D341F"/>
    <w:rsid w:val="009D7F56"/>
    <w:rsid w:val="009E34DF"/>
    <w:rsid w:val="009F0431"/>
    <w:rsid w:val="009F0FAF"/>
    <w:rsid w:val="009F243A"/>
    <w:rsid w:val="009F544F"/>
    <w:rsid w:val="009F5670"/>
    <w:rsid w:val="009F6DBE"/>
    <w:rsid w:val="00A020F4"/>
    <w:rsid w:val="00A118E8"/>
    <w:rsid w:val="00A13DDC"/>
    <w:rsid w:val="00A15112"/>
    <w:rsid w:val="00A1678F"/>
    <w:rsid w:val="00A17B37"/>
    <w:rsid w:val="00A200EE"/>
    <w:rsid w:val="00A20F36"/>
    <w:rsid w:val="00A21230"/>
    <w:rsid w:val="00A21578"/>
    <w:rsid w:val="00A22B78"/>
    <w:rsid w:val="00A2461A"/>
    <w:rsid w:val="00A25AE5"/>
    <w:rsid w:val="00A313E5"/>
    <w:rsid w:val="00A34CCC"/>
    <w:rsid w:val="00A409BB"/>
    <w:rsid w:val="00A40EC2"/>
    <w:rsid w:val="00A42663"/>
    <w:rsid w:val="00A460FA"/>
    <w:rsid w:val="00A51EB7"/>
    <w:rsid w:val="00A52249"/>
    <w:rsid w:val="00A5246B"/>
    <w:rsid w:val="00A52BD3"/>
    <w:rsid w:val="00A625A6"/>
    <w:rsid w:val="00A65893"/>
    <w:rsid w:val="00A736F6"/>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6DBC"/>
    <w:rsid w:val="00AB06D5"/>
    <w:rsid w:val="00AC03EC"/>
    <w:rsid w:val="00AC4389"/>
    <w:rsid w:val="00AC5CA7"/>
    <w:rsid w:val="00AC7172"/>
    <w:rsid w:val="00AD1216"/>
    <w:rsid w:val="00AE4E14"/>
    <w:rsid w:val="00AF0857"/>
    <w:rsid w:val="00AF21F5"/>
    <w:rsid w:val="00B0082E"/>
    <w:rsid w:val="00B02489"/>
    <w:rsid w:val="00B07A4B"/>
    <w:rsid w:val="00B13C57"/>
    <w:rsid w:val="00B14CF0"/>
    <w:rsid w:val="00B16B9B"/>
    <w:rsid w:val="00B171F0"/>
    <w:rsid w:val="00B23C25"/>
    <w:rsid w:val="00B25E76"/>
    <w:rsid w:val="00B27CEF"/>
    <w:rsid w:val="00B308E7"/>
    <w:rsid w:val="00B31965"/>
    <w:rsid w:val="00B31CD5"/>
    <w:rsid w:val="00B31E9A"/>
    <w:rsid w:val="00B34766"/>
    <w:rsid w:val="00B36D5B"/>
    <w:rsid w:val="00B41953"/>
    <w:rsid w:val="00B43505"/>
    <w:rsid w:val="00B4460A"/>
    <w:rsid w:val="00B469B2"/>
    <w:rsid w:val="00B51DCE"/>
    <w:rsid w:val="00B55FDC"/>
    <w:rsid w:val="00B62A7B"/>
    <w:rsid w:val="00B65F6D"/>
    <w:rsid w:val="00B72BC9"/>
    <w:rsid w:val="00B767A1"/>
    <w:rsid w:val="00B8554B"/>
    <w:rsid w:val="00B96DA3"/>
    <w:rsid w:val="00BA01FA"/>
    <w:rsid w:val="00BA12A1"/>
    <w:rsid w:val="00BA2BD8"/>
    <w:rsid w:val="00BA6E48"/>
    <w:rsid w:val="00BB213E"/>
    <w:rsid w:val="00BB6036"/>
    <w:rsid w:val="00BB6BEA"/>
    <w:rsid w:val="00BC0518"/>
    <w:rsid w:val="00BC20DA"/>
    <w:rsid w:val="00BC4263"/>
    <w:rsid w:val="00BC4539"/>
    <w:rsid w:val="00BC67C6"/>
    <w:rsid w:val="00BC6ADB"/>
    <w:rsid w:val="00BC7C70"/>
    <w:rsid w:val="00BD149A"/>
    <w:rsid w:val="00BD1516"/>
    <w:rsid w:val="00BD34B0"/>
    <w:rsid w:val="00BE350B"/>
    <w:rsid w:val="00BE37FB"/>
    <w:rsid w:val="00BE3E89"/>
    <w:rsid w:val="00BE5F1B"/>
    <w:rsid w:val="00BE6B0A"/>
    <w:rsid w:val="00BE7C72"/>
    <w:rsid w:val="00BF168E"/>
    <w:rsid w:val="00BF2218"/>
    <w:rsid w:val="00C03DB4"/>
    <w:rsid w:val="00C07FAE"/>
    <w:rsid w:val="00C12E65"/>
    <w:rsid w:val="00C14AFE"/>
    <w:rsid w:val="00C219F1"/>
    <w:rsid w:val="00C24184"/>
    <w:rsid w:val="00C25509"/>
    <w:rsid w:val="00C27CD5"/>
    <w:rsid w:val="00C36DF3"/>
    <w:rsid w:val="00C4221E"/>
    <w:rsid w:val="00C44972"/>
    <w:rsid w:val="00C47463"/>
    <w:rsid w:val="00C517AB"/>
    <w:rsid w:val="00C52E17"/>
    <w:rsid w:val="00C530CB"/>
    <w:rsid w:val="00C66BDB"/>
    <w:rsid w:val="00C67D92"/>
    <w:rsid w:val="00C707CE"/>
    <w:rsid w:val="00C716D6"/>
    <w:rsid w:val="00CA22D5"/>
    <w:rsid w:val="00CA6ADC"/>
    <w:rsid w:val="00CA7DDF"/>
    <w:rsid w:val="00CB24C3"/>
    <w:rsid w:val="00CB5A09"/>
    <w:rsid w:val="00CC012F"/>
    <w:rsid w:val="00CC2C6A"/>
    <w:rsid w:val="00CC470A"/>
    <w:rsid w:val="00CD7492"/>
    <w:rsid w:val="00CE2443"/>
    <w:rsid w:val="00CE2BEE"/>
    <w:rsid w:val="00CE3A6B"/>
    <w:rsid w:val="00CF027F"/>
    <w:rsid w:val="00CF0502"/>
    <w:rsid w:val="00CF17A8"/>
    <w:rsid w:val="00CF4364"/>
    <w:rsid w:val="00CF4F06"/>
    <w:rsid w:val="00D00211"/>
    <w:rsid w:val="00D01D07"/>
    <w:rsid w:val="00D03530"/>
    <w:rsid w:val="00D06309"/>
    <w:rsid w:val="00D1106E"/>
    <w:rsid w:val="00D12838"/>
    <w:rsid w:val="00D24102"/>
    <w:rsid w:val="00D34988"/>
    <w:rsid w:val="00D349DC"/>
    <w:rsid w:val="00D351EA"/>
    <w:rsid w:val="00D354C4"/>
    <w:rsid w:val="00D35594"/>
    <w:rsid w:val="00D370E7"/>
    <w:rsid w:val="00D43403"/>
    <w:rsid w:val="00D53298"/>
    <w:rsid w:val="00D60DB0"/>
    <w:rsid w:val="00D62E71"/>
    <w:rsid w:val="00D631D8"/>
    <w:rsid w:val="00D65C3E"/>
    <w:rsid w:val="00D6645D"/>
    <w:rsid w:val="00D715FB"/>
    <w:rsid w:val="00D71FC3"/>
    <w:rsid w:val="00D7262A"/>
    <w:rsid w:val="00D740CA"/>
    <w:rsid w:val="00D76FC6"/>
    <w:rsid w:val="00D8304C"/>
    <w:rsid w:val="00D832DA"/>
    <w:rsid w:val="00D85728"/>
    <w:rsid w:val="00D858D2"/>
    <w:rsid w:val="00D85DC3"/>
    <w:rsid w:val="00D8661B"/>
    <w:rsid w:val="00D91DE2"/>
    <w:rsid w:val="00DB5EE5"/>
    <w:rsid w:val="00DC29C9"/>
    <w:rsid w:val="00DC34DE"/>
    <w:rsid w:val="00DC4B87"/>
    <w:rsid w:val="00DD0A73"/>
    <w:rsid w:val="00DD0B22"/>
    <w:rsid w:val="00DD15F1"/>
    <w:rsid w:val="00DD2137"/>
    <w:rsid w:val="00DD497E"/>
    <w:rsid w:val="00DD649F"/>
    <w:rsid w:val="00DD76F3"/>
    <w:rsid w:val="00DE0EB1"/>
    <w:rsid w:val="00DE2B60"/>
    <w:rsid w:val="00DE3169"/>
    <w:rsid w:val="00DE35F7"/>
    <w:rsid w:val="00DE50DE"/>
    <w:rsid w:val="00DE5AC9"/>
    <w:rsid w:val="00DE5F01"/>
    <w:rsid w:val="00DF0B7B"/>
    <w:rsid w:val="00DF2997"/>
    <w:rsid w:val="00DF3435"/>
    <w:rsid w:val="00DF3461"/>
    <w:rsid w:val="00DF5A85"/>
    <w:rsid w:val="00DF6FED"/>
    <w:rsid w:val="00E00441"/>
    <w:rsid w:val="00E0198A"/>
    <w:rsid w:val="00E01B57"/>
    <w:rsid w:val="00E03C16"/>
    <w:rsid w:val="00E0619A"/>
    <w:rsid w:val="00E15BED"/>
    <w:rsid w:val="00E17629"/>
    <w:rsid w:val="00E20DD2"/>
    <w:rsid w:val="00E247CC"/>
    <w:rsid w:val="00E257DE"/>
    <w:rsid w:val="00E3080C"/>
    <w:rsid w:val="00E30ADB"/>
    <w:rsid w:val="00E34909"/>
    <w:rsid w:val="00E403A7"/>
    <w:rsid w:val="00E4069D"/>
    <w:rsid w:val="00E42707"/>
    <w:rsid w:val="00E50C7F"/>
    <w:rsid w:val="00E61110"/>
    <w:rsid w:val="00E64435"/>
    <w:rsid w:val="00E6704F"/>
    <w:rsid w:val="00E72B96"/>
    <w:rsid w:val="00E75021"/>
    <w:rsid w:val="00E8590A"/>
    <w:rsid w:val="00E86FB4"/>
    <w:rsid w:val="00E91A5B"/>
    <w:rsid w:val="00EA0C50"/>
    <w:rsid w:val="00EA2462"/>
    <w:rsid w:val="00EA2CB2"/>
    <w:rsid w:val="00EA3482"/>
    <w:rsid w:val="00EA3B6F"/>
    <w:rsid w:val="00EA3EA9"/>
    <w:rsid w:val="00EA63D8"/>
    <w:rsid w:val="00EA69DF"/>
    <w:rsid w:val="00EC0BD8"/>
    <w:rsid w:val="00EC184E"/>
    <w:rsid w:val="00EC2A9C"/>
    <w:rsid w:val="00EC4EF4"/>
    <w:rsid w:val="00EC5ABF"/>
    <w:rsid w:val="00EC5F4D"/>
    <w:rsid w:val="00EC7BC3"/>
    <w:rsid w:val="00ED17D0"/>
    <w:rsid w:val="00ED1BCA"/>
    <w:rsid w:val="00ED7600"/>
    <w:rsid w:val="00EE48A6"/>
    <w:rsid w:val="00EE51C7"/>
    <w:rsid w:val="00EE6D2F"/>
    <w:rsid w:val="00EE6FC7"/>
    <w:rsid w:val="00EF3E91"/>
    <w:rsid w:val="00EF7C9F"/>
    <w:rsid w:val="00F0018E"/>
    <w:rsid w:val="00F04C45"/>
    <w:rsid w:val="00F0628F"/>
    <w:rsid w:val="00F101B7"/>
    <w:rsid w:val="00F1362C"/>
    <w:rsid w:val="00F21025"/>
    <w:rsid w:val="00F21A14"/>
    <w:rsid w:val="00F224D6"/>
    <w:rsid w:val="00F41205"/>
    <w:rsid w:val="00F421DD"/>
    <w:rsid w:val="00F42B07"/>
    <w:rsid w:val="00F4761D"/>
    <w:rsid w:val="00F64578"/>
    <w:rsid w:val="00F657A2"/>
    <w:rsid w:val="00F72507"/>
    <w:rsid w:val="00F72ED0"/>
    <w:rsid w:val="00F73C1C"/>
    <w:rsid w:val="00F7450D"/>
    <w:rsid w:val="00F824F5"/>
    <w:rsid w:val="00F83877"/>
    <w:rsid w:val="00F84643"/>
    <w:rsid w:val="00F84BA1"/>
    <w:rsid w:val="00F85D40"/>
    <w:rsid w:val="00F87098"/>
    <w:rsid w:val="00F95D1B"/>
    <w:rsid w:val="00F97D79"/>
    <w:rsid w:val="00FA0ED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7741"/>
    <w:rsid w:val="00FE5B8F"/>
    <w:rsid w:val="00FE616E"/>
    <w:rsid w:val="00FF2E71"/>
    <w:rsid w:val="00FF4BA9"/>
    <w:rsid w:val="00FF6C99"/>
    <w:rsid w:val="09B3759D"/>
    <w:rsid w:val="11FABD2C"/>
    <w:rsid w:val="30B6439F"/>
    <w:rsid w:val="3AB671B9"/>
    <w:rsid w:val="4F3A84F5"/>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09CB5"/>
  <w15:chartTrackingRefBased/>
  <w15:docId w15:val="{37100E18-DC9C-4EA4-8863-FAFFFA270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5"/>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6"/>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 w:type="paragraph" w:customStyle="1" w:styleId="RAN4H3">
    <w:name w:val="RAN4 H3"/>
    <w:basedOn w:val="Normal"/>
    <w:qFormat/>
    <w:rsid w:val="000F6E70"/>
    <w:pPr>
      <w:ind w:left="505" w:hanging="505"/>
    </w:pPr>
    <w:rPr>
      <w:rFonts w:ascii="Arial" w:eastAsiaTheme="minorEastAsia"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5624093">
          <w:marLeft w:val="0"/>
          <w:marRight w:val="0"/>
          <w:marTop w:val="0"/>
          <w:marBottom w:val="0"/>
          <w:divBdr>
            <w:top w:val="none" w:sz="0" w:space="0" w:color="auto"/>
            <w:left w:val="none" w:sz="0" w:space="0" w:color="auto"/>
            <w:bottom w:val="none" w:sz="0" w:space="0" w:color="auto"/>
            <w:right w:val="none" w:sz="0" w:space="0" w:color="auto"/>
          </w:divBdr>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69434">
          <w:marLeft w:val="0"/>
          <w:marRight w:val="0"/>
          <w:marTop w:val="0"/>
          <w:marBottom w:val="0"/>
          <w:divBdr>
            <w:top w:val="none" w:sz="0" w:space="0" w:color="auto"/>
            <w:left w:val="none" w:sz="0" w:space="0" w:color="auto"/>
            <w:bottom w:val="none" w:sz="0" w:space="0" w:color="auto"/>
            <w:right w:val="none" w:sz="0" w:space="0" w:color="auto"/>
          </w:divBdr>
        </w:div>
        <w:div w:id="1820341903">
          <w:marLeft w:val="0"/>
          <w:marRight w:val="0"/>
          <w:marTop w:val="0"/>
          <w:marBottom w:val="0"/>
          <w:divBdr>
            <w:top w:val="none" w:sz="0" w:space="0" w:color="auto"/>
            <w:left w:val="none" w:sz="0" w:space="0" w:color="auto"/>
            <w:bottom w:val="none" w:sz="0" w:space="0" w:color="auto"/>
            <w:right w:val="none" w:sz="0" w:space="0" w:color="auto"/>
          </w:divBdr>
        </w:div>
        <w:div w:id="350298662">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8992544">
          <w:marLeft w:val="0"/>
          <w:marRight w:val="0"/>
          <w:marTop w:val="0"/>
          <w:marBottom w:val="0"/>
          <w:divBdr>
            <w:top w:val="none" w:sz="0" w:space="0" w:color="auto"/>
            <w:left w:val="none" w:sz="0" w:space="0" w:color="auto"/>
            <w:bottom w:val="none" w:sz="0" w:space="0" w:color="auto"/>
            <w:right w:val="none" w:sz="0" w:space="0" w:color="auto"/>
          </w:divBdr>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18091249">
      <w:bodyDiv w:val="1"/>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99725266">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3853743">
      <w:bodyDiv w:val="1"/>
      <w:marLeft w:val="0"/>
      <w:marRight w:val="0"/>
      <w:marTop w:val="0"/>
      <w:marBottom w:val="0"/>
      <w:divBdr>
        <w:top w:val="none" w:sz="0" w:space="0" w:color="auto"/>
        <w:left w:val="none" w:sz="0" w:space="0" w:color="auto"/>
        <w:bottom w:val="none" w:sz="0" w:space="0" w:color="auto"/>
        <w:right w:val="none" w:sz="0" w:space="0" w:color="auto"/>
      </w:divBdr>
      <w:divsChild>
        <w:div w:id="1107383874">
          <w:marLeft w:val="0"/>
          <w:marRight w:val="0"/>
          <w:marTop w:val="0"/>
          <w:marBottom w:val="0"/>
          <w:divBdr>
            <w:top w:val="none" w:sz="0" w:space="0" w:color="auto"/>
            <w:left w:val="none" w:sz="0" w:space="0" w:color="auto"/>
            <w:bottom w:val="none" w:sz="0" w:space="0" w:color="auto"/>
            <w:right w:val="none" w:sz="0" w:space="0" w:color="auto"/>
          </w:divBdr>
          <w:divsChild>
            <w:div w:id="565654273">
              <w:marLeft w:val="0"/>
              <w:marRight w:val="0"/>
              <w:marTop w:val="0"/>
              <w:marBottom w:val="0"/>
              <w:divBdr>
                <w:top w:val="none" w:sz="0" w:space="0" w:color="auto"/>
                <w:left w:val="none" w:sz="0" w:space="0" w:color="auto"/>
                <w:bottom w:val="none" w:sz="0" w:space="0" w:color="auto"/>
                <w:right w:val="none" w:sz="0" w:space="0" w:color="auto"/>
              </w:divBdr>
              <w:divsChild>
                <w:div w:id="1331561136">
                  <w:marLeft w:val="0"/>
                  <w:marRight w:val="0"/>
                  <w:marTop w:val="0"/>
                  <w:marBottom w:val="0"/>
                  <w:divBdr>
                    <w:top w:val="none" w:sz="0" w:space="0" w:color="auto"/>
                    <w:left w:val="none" w:sz="0" w:space="0" w:color="auto"/>
                    <w:bottom w:val="none" w:sz="0" w:space="0" w:color="auto"/>
                    <w:right w:val="none" w:sz="0" w:space="0" w:color="auto"/>
                  </w:divBdr>
                  <w:divsChild>
                    <w:div w:id="1980959153">
                      <w:marLeft w:val="0"/>
                      <w:marRight w:val="0"/>
                      <w:marTop w:val="0"/>
                      <w:marBottom w:val="0"/>
                      <w:divBdr>
                        <w:top w:val="none" w:sz="0" w:space="0" w:color="auto"/>
                        <w:left w:val="none" w:sz="0" w:space="0" w:color="auto"/>
                        <w:bottom w:val="none" w:sz="0" w:space="0" w:color="auto"/>
                        <w:right w:val="none" w:sz="0" w:space="0" w:color="auto"/>
                      </w:divBdr>
                      <w:divsChild>
                        <w:div w:id="181939500">
                          <w:marLeft w:val="0"/>
                          <w:marRight w:val="0"/>
                          <w:marTop w:val="0"/>
                          <w:marBottom w:val="0"/>
                          <w:divBdr>
                            <w:top w:val="none" w:sz="0" w:space="0" w:color="auto"/>
                            <w:left w:val="none" w:sz="0" w:space="0" w:color="auto"/>
                            <w:bottom w:val="none" w:sz="0" w:space="0" w:color="auto"/>
                            <w:right w:val="none" w:sz="0" w:space="0" w:color="auto"/>
                          </w:divBdr>
                          <w:divsChild>
                            <w:div w:id="2085951490">
                              <w:marLeft w:val="0"/>
                              <w:marRight w:val="0"/>
                              <w:marTop w:val="0"/>
                              <w:marBottom w:val="0"/>
                              <w:divBdr>
                                <w:top w:val="none" w:sz="0" w:space="0" w:color="auto"/>
                                <w:left w:val="none" w:sz="0" w:space="0" w:color="auto"/>
                                <w:bottom w:val="none" w:sz="0" w:space="0" w:color="auto"/>
                                <w:right w:val="none" w:sz="0" w:space="0" w:color="auto"/>
                              </w:divBdr>
                              <w:divsChild>
                                <w:div w:id="955596798">
                                  <w:marLeft w:val="0"/>
                                  <w:marRight w:val="0"/>
                                  <w:marTop w:val="0"/>
                                  <w:marBottom w:val="0"/>
                                  <w:divBdr>
                                    <w:top w:val="none" w:sz="0" w:space="0" w:color="auto"/>
                                    <w:left w:val="none" w:sz="0" w:space="0" w:color="auto"/>
                                    <w:bottom w:val="none" w:sz="0" w:space="0" w:color="auto"/>
                                    <w:right w:val="none" w:sz="0" w:space="0" w:color="auto"/>
                                  </w:divBdr>
                                  <w:divsChild>
                                    <w:div w:id="430587646">
                                      <w:marLeft w:val="0"/>
                                      <w:marRight w:val="0"/>
                                      <w:marTop w:val="0"/>
                                      <w:marBottom w:val="0"/>
                                      <w:divBdr>
                                        <w:top w:val="none" w:sz="0" w:space="0" w:color="auto"/>
                                        <w:left w:val="none" w:sz="0" w:space="0" w:color="auto"/>
                                        <w:bottom w:val="none" w:sz="0" w:space="0" w:color="auto"/>
                                        <w:right w:val="none" w:sz="0" w:space="0" w:color="auto"/>
                                      </w:divBdr>
                                      <w:divsChild>
                                        <w:div w:id="1197743413">
                                          <w:marLeft w:val="0"/>
                                          <w:marRight w:val="0"/>
                                          <w:marTop w:val="0"/>
                                          <w:marBottom w:val="495"/>
                                          <w:divBdr>
                                            <w:top w:val="none" w:sz="0" w:space="0" w:color="auto"/>
                                            <w:left w:val="none" w:sz="0" w:space="0" w:color="auto"/>
                                            <w:bottom w:val="none" w:sz="0" w:space="0" w:color="auto"/>
                                            <w:right w:val="none" w:sz="0" w:space="0" w:color="auto"/>
                                          </w:divBdr>
                                          <w:divsChild>
                                            <w:div w:id="180585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38841004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1273436">
          <w:marLeft w:val="0"/>
          <w:marRight w:val="0"/>
          <w:marTop w:val="0"/>
          <w:marBottom w:val="0"/>
          <w:divBdr>
            <w:top w:val="none" w:sz="0" w:space="0" w:color="auto"/>
            <w:left w:val="none" w:sz="0" w:space="0" w:color="auto"/>
            <w:bottom w:val="none" w:sz="0" w:space="0" w:color="auto"/>
            <w:right w:val="none" w:sz="0" w:space="0" w:color="auto"/>
          </w:divBdr>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5AIRPNAIUNRU-1328258698-835</_dlc_DocId>
    <_dlc_DocIdUrl xmlns="71c5aaf6-e6ce-465b-b873-5148d2a4c105">
      <Url>https://nokia.sharepoint.com/sites/c5g/5gradio/_layouts/15/DocIdRedir.aspx?ID=5AIRPNAIUNRU-1328258698-835</Url>
      <Description>5AIRPNAIUNRU-1328258698-835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2.xml><?xml version="1.0" encoding="utf-8"?>
<ds:datastoreItem xmlns:ds="http://schemas.openxmlformats.org/officeDocument/2006/customXml" ds:itemID="{5E5A2554-EA39-4017-9242-BDD11D27752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4.xml><?xml version="1.0" encoding="utf-8"?>
<ds:datastoreItem xmlns:ds="http://schemas.openxmlformats.org/officeDocument/2006/customXml" ds:itemID="{588B5F83-08D6-415F-AB0E-712077D04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6.xml><?xml version="1.0" encoding="utf-8"?>
<ds:datastoreItem xmlns:ds="http://schemas.openxmlformats.org/officeDocument/2006/customXml" ds:itemID="{A277EB58-7703-4F2B-9FBD-2A974C001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1693</Words>
  <Characters>10332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Nokia_Erika</cp:lastModifiedBy>
  <cp:revision>17</cp:revision>
  <cp:lastPrinted>2019-04-01T08:54:00Z</cp:lastPrinted>
  <dcterms:created xsi:type="dcterms:W3CDTF">2020-03-31T11:58:00Z</dcterms:created>
  <dcterms:modified xsi:type="dcterms:W3CDTF">2020-04-10T16:04:00Z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b730bba6-e77f-4bd4-ac77-605581d12621</vt:lpwstr>
  </property>
  <property fmtid="{D5CDD505-2E9C-101B-9397-08002B2CF9AE}" pid="4" name="AuthorIds_UIVersion_512">
    <vt:lpwstr>18279</vt:lpwstr>
  </property>
</Properties>
</file>